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color w:val="5F5E5A"/>
          <w:sz w:val="18"/>
          <w:szCs w:val="18"/>
        </w:rPr>
        <w:t xml:space="preserve">MOOC — Motivation et engagement des salariés : améliorer la QVT en entreprise</w:t>
      </w:r>
    </w:p>
    <w:p>
      <w:pPr>
        <w:spacing w:after="20"/>
      </w:pPr>
      <w:r>
        <w:rPr>
          <w:rFonts w:ascii="Arial" w:cs="Arial" w:eastAsia="Arial" w:hAnsi="Arial"/>
          <w:b/>
          <w:bCs/>
          <w:color w:val="0F6E56"/>
          <w:sz w:val="36"/>
          <w:szCs w:val="36"/>
        </w:rPr>
        <w:t xml:space="preserve">Semaine 1 — Comprendre les fondamentaux</w:t>
      </w:r>
    </w:p>
    <w:p>
      <w:pPr>
        <w:spacing w:after="300"/>
      </w:pPr>
      <w:r>
        <w:rPr>
          <w:rFonts w:ascii="Arial" w:cs="Arial" w:eastAsia="Arial" w:hAnsi="Arial"/>
          <w:i/>
          <w:iCs/>
          <w:color w:val="5F5E5A"/>
          <w:sz w:val="20"/>
          <w:szCs w:val="20"/>
        </w:rPr>
        <w:t xml:space="preserve">Document détaillé — Cours complet</w:t>
      </w:r>
    </w:p>
    <w:p>
      <w:pPr>
        <w:pStyle w:val="Heading2"/>
      </w:pPr>
      <w:r>
        <w:rPr>
          <w:rFonts w:ascii="Arial" w:cs="Arial" w:eastAsia="Arial" w:hAnsi="Arial"/>
          <w:b/>
          <w:bCs/>
          <w:sz w:val="25"/>
          <w:szCs w:val="25"/>
        </w:rPr>
        <w:t xml:space="preserve">Objectifs pédagogiques</w:t>
      </w:r>
    </w:p>
    <w:p>
      <w:pPr>
        <w:pStyle w:val="ListParagraph"/>
        <w:numPr>
          <w:ilvl w:val="0"/>
          <w:numId w:val="2"/>
        </w:numPr>
        <w:spacing w:after="80"/>
      </w:pPr>
      <w:r>
        <w:rPr>
          <w:rFonts w:ascii="Arial" w:cs="Arial" w:eastAsia="Arial" w:hAnsi="Arial"/>
          <w:sz w:val="21"/>
          <w:szCs w:val="21"/>
        </w:rPr>
        <w:t xml:space="preserve">Distinguer la motivation de l'engagement au travail</w:t>
      </w:r>
    </w:p>
    <w:p>
      <w:pPr>
        <w:pStyle w:val="ListParagraph"/>
        <w:numPr>
          <w:ilvl w:val="0"/>
          <w:numId w:val="2"/>
        </w:numPr>
        <w:spacing w:after="80"/>
      </w:pPr>
      <w:r>
        <w:rPr>
          <w:rFonts w:ascii="Arial" w:cs="Arial" w:eastAsia="Arial" w:hAnsi="Arial"/>
          <w:sz w:val="21"/>
          <w:szCs w:val="21"/>
        </w:rPr>
        <w:t xml:space="preserve">Identifier les principaux facteurs qui influencent la motivation des salariés</w:t>
      </w:r>
    </w:p>
    <w:p>
      <w:pPr>
        <w:pStyle w:val="Heading1"/>
      </w:pPr>
      <w:r>
        <w:rPr>
          <w:rFonts w:ascii="Arial" w:cs="Arial" w:eastAsia="Arial" w:hAnsi="Arial"/>
          <w:b/>
          <w:bCs/>
          <w:sz w:val="32"/>
          <w:szCs w:val="32"/>
        </w:rPr>
        <w:t xml:space="preserve">Module 1 — Motivation vs engagement</w:t>
      </w:r>
    </w:p>
    <w:p>
      <w:pPr>
        <w:pStyle w:val="Heading2"/>
      </w:pPr>
      <w:r>
        <w:rPr>
          <w:rFonts w:ascii="Arial" w:cs="Arial" w:eastAsia="Arial" w:hAnsi="Arial"/>
          <w:b/>
          <w:bCs/>
          <w:sz w:val="25"/>
          <w:szCs w:val="25"/>
        </w:rPr>
        <w:t xml:space="preserve">1. Définir la motivation au travail</w:t>
      </w:r>
    </w:p>
    <w:p>
      <w:pPr>
        <w:spacing w:after="140"/>
      </w:pPr>
      <w:r>
        <w:rPr>
          <w:rFonts w:ascii="Arial" w:cs="Arial" w:eastAsia="Arial" w:hAnsi="Arial"/>
          <w:sz w:val="21"/>
          <w:szCs w:val="21"/>
        </w:rPr>
        <w:t xml:space="preserve">La motivation au travail désigne l'ensemble des forces, internes et externes, qui poussent un individu à s'engager dans une action, à y consacrer de l'énergie et à persévérer jusqu'à l'atteinte d'un objectif. C'est un état psychologique dynamique : elle varie selon les situations, les périodes et les personnes.</w:t>
      </w:r>
    </w:p>
    <w:p>
      <w:pPr>
        <w:spacing w:after="140"/>
      </w:pPr>
      <w:r>
        <w:rPr>
          <w:rFonts w:ascii="Arial" w:cs="Arial" w:eastAsia="Arial" w:hAnsi="Arial"/>
          <w:sz w:val="21"/>
          <w:szCs w:val="21"/>
        </w:rPr>
        <w:t xml:space="preserve">Plusieurs théories classiques permettent de comprendre ce mécanisme :</w:t>
      </w:r>
    </w:p>
    <w:p>
      <w:pPr>
        <w:pStyle w:val="Heading3"/>
      </w:pPr>
      <w:r>
        <w:rPr>
          <w:rFonts w:ascii="Arial" w:cs="Arial" w:eastAsia="Arial" w:hAnsi="Arial"/>
          <w:b/>
          <w:bCs/>
          <w:color w:val="854F0B"/>
          <w:sz w:val="22"/>
          <w:szCs w:val="22"/>
        </w:rPr>
        <w:t xml:space="preserve">La pyramide des besoins de Maslow (1943)</w:t>
      </w:r>
    </w:p>
    <w:p>
      <w:pPr>
        <w:spacing w:after="140"/>
      </w:pPr>
      <w:r>
        <w:rPr>
          <w:rFonts w:ascii="Arial" w:cs="Arial" w:eastAsia="Arial" w:hAnsi="Arial"/>
          <w:sz w:val="21"/>
          <w:szCs w:val="21"/>
        </w:rPr>
        <w:t xml:space="preserve">Maslow propose une hiérarchie de cinq niveaux de besoins : physiologiques, sécurité, appartenance, estime, accomplissement de soi. Appliquée au travail, cette théorie suggère qu'un salarié ne sera réellement motivé par des leviers de développement personnel que si ses besoins de base (salaire, stabilité de l'emploi) sont déjà satisfaits.</w:t>
      </w:r>
    </w:p>
    <w:p>
      <w:pPr>
        <w:pStyle w:val="Heading3"/>
      </w:pPr>
      <w:r>
        <w:rPr>
          <w:rFonts w:ascii="Arial" w:cs="Arial" w:eastAsia="Arial" w:hAnsi="Arial"/>
          <w:b/>
          <w:bCs/>
          <w:color w:val="854F0B"/>
          <w:sz w:val="22"/>
          <w:szCs w:val="22"/>
        </w:rPr>
        <w:t xml:space="preserve">La théorie bifactorielle de Herzberg (1959)</w:t>
      </w:r>
    </w:p>
    <w:p>
      <w:pPr>
        <w:spacing w:after="140"/>
      </w:pPr>
      <w:r>
        <w:rPr>
          <w:rFonts w:ascii="Arial" w:cs="Arial" w:eastAsia="Arial" w:hAnsi="Arial"/>
          <w:sz w:val="21"/>
          <w:szCs w:val="21"/>
        </w:rPr>
        <w:t xml:space="preserve">Herzberg distingue deux catégories de facteurs : les facteurs d'hygiène (salaire, conditions de travail, relations) dont l'absence génère de l'insatisfaction mais dont la présence ne suffit pas à motiver, et les facteurs moteurs (reconnaissance, responsabilités, accomplissement) qui sont les véritables leviers de la motivation.</w:t>
      </w:r>
    </w:p>
    <w:p>
      <w:pPr>
        <w:pStyle w:val="Heading3"/>
      </w:pPr>
      <w:r>
        <w:rPr>
          <w:rFonts w:ascii="Arial" w:cs="Arial" w:eastAsia="Arial" w:hAnsi="Arial"/>
          <w:b/>
          <w:bCs/>
          <w:color w:val="854F0B"/>
          <w:sz w:val="22"/>
          <w:szCs w:val="22"/>
        </w:rPr>
        <w:t xml:space="preserve">La théorie de l'autodétermination — Deci &amp; Ryan (1985)</w:t>
      </w:r>
    </w:p>
    <w:p>
      <w:pPr>
        <w:spacing w:after="140"/>
      </w:pPr>
      <w:r>
        <w:rPr>
          <w:rFonts w:ascii="Arial" w:cs="Arial" w:eastAsia="Arial" w:hAnsi="Arial"/>
          <w:sz w:val="21"/>
          <w:szCs w:val="21"/>
        </w:rPr>
        <w:t xml:space="preserve">Cette théorie distingue la motivation intrinsèque (agir par intérêt ou plaisir pour la tâche elle-même) de la motivation extrinsèque (agir pour obtenir une récompense ou éviter une sanction). Elle identifie trois besoins psychologiques fondamentaux à satisfaire pour nourrir la motivation intrinsèque : l'autonomie, la compétence et l'appartenance sociale.</w:t>
      </w:r>
    </w:p>
    <w:p>
      <w:pPr>
        <w:pStyle w:val="Heading2"/>
      </w:pPr>
      <w:r>
        <w:rPr>
          <w:rFonts w:ascii="Arial" w:cs="Arial" w:eastAsia="Arial" w:hAnsi="Arial"/>
          <w:b/>
          <w:bCs/>
          <w:sz w:val="25"/>
          <w:szCs w:val="25"/>
        </w:rPr>
        <w:t xml:space="preserve">2. Définir l'engagement au travail</w:t>
      </w:r>
    </w:p>
    <w:p>
      <w:pPr>
        <w:spacing w:after="140"/>
      </w:pPr>
      <w:r>
        <w:rPr>
          <w:rFonts w:ascii="Arial" w:cs="Arial" w:eastAsia="Arial" w:hAnsi="Arial"/>
          <w:sz w:val="21"/>
          <w:szCs w:val="21"/>
        </w:rPr>
        <w:t xml:space="preserve">L'engagement se définit comme un état psychologique d'attachement durable du salarié envers son organisation, ses missions et ses valeurs. Contrairement à la motivation qui peut être ponctuelle, l'engagement traduit une implication dans la durée : le salarié engagé s'identifie à son entreprise et dépasse le simple cadre contractuel de son poste.</w:t>
      </w:r>
    </w:p>
    <w:p>
      <w:pPr>
        <w:spacing w:after="140"/>
      </w:pPr>
      <w:r>
        <w:rPr>
          <w:rFonts w:ascii="Arial" w:cs="Arial" w:eastAsia="Arial" w:hAnsi="Arial"/>
          <w:sz w:val="21"/>
          <w:szCs w:val="21"/>
        </w:rPr>
        <w:t xml:space="preserve">L'institut Gallup distingue généralement trois profils de salariés : les engagés, qui contribuent activement et positivement ; les non-engagés, qui se contentent d'exécuter leurs tâches sans réel investissement ; et les activement désengagés, qui peuvent avoir un impact négatif sur leur environnement de travail.</w:t>
      </w:r>
    </w:p>
    <w:p>
      <w:pPr>
        <w:pStyle w:val="Heading2"/>
      </w:pPr>
      <w:r>
        <w:rPr>
          <w:rFonts w:ascii="Arial" w:cs="Arial" w:eastAsia="Arial" w:hAnsi="Arial"/>
          <w:b/>
          <w:bCs/>
          <w:sz w:val="25"/>
          <w:szCs w:val="25"/>
        </w:rPr>
        <w:t xml:space="preserve">3. Motivation et engagement : quelles différences ?</w:t>
      </w:r>
    </w:p>
    <w:p>
      <w:pPr>
        <w:spacing w:after="140"/>
      </w:pPr>
      <w:r>
        <w:rPr>
          <w:rFonts w:ascii="Arial" w:cs="Arial" w:eastAsia="Arial" w:hAnsi="Arial"/>
          <w:sz w:val="21"/>
          <w:szCs w:val="21"/>
        </w:rPr>
        <w:t xml:space="preserve">Si les deux notions sont liées, elles ne se confondent pas. La motivation est davantage individuelle, fluctuante et orientée vers une tâche ou un objectif précis. L'engagement est plus collectif et stable : il relève du lien entre le salarié et l'organisation dans son ensemble.</w:t>
      </w:r>
    </w:p>
    <w:tbl>
      <w:tblPr>
        <w:tblW w:type="dxa" w:w="9700"/>
        <w:tblBorders>
          <w:top w:val="single" w:color="auto" w:sz="4"/>
          <w:left w:val="single" w:color="auto" w:sz="4"/>
          <w:bottom w:val="single" w:color="auto" w:sz="4"/>
          <w:right w:val="single" w:color="auto" w:sz="4"/>
          <w:insideH w:val="single" w:color="auto" w:sz="4"/>
          <w:insideV w:val="single" w:color="auto" w:sz="4"/>
        </w:tblBorders>
      </w:tblPr>
      <w:tblGrid>
        <w:gridCol w:w="3300"/>
        <w:gridCol w:w="3200"/>
        <w:gridCol w:w="3200"/>
      </w:tblGrid>
      <w:tr>
        <w:tc>
          <w:tcPr>
            <w:tcW w:type="dxa" w:w="3300"/>
            <w:tcBorders>
              <w:top w:val="single" w:color="D9D7CE" w:sz="2"/>
              <w:left w:val="single" w:color="D9D7CE" w:sz="2"/>
              <w:bottom w:val="single" w:color="D9D7CE" w:sz="2"/>
              <w:right w:val="single" w:color="D9D7CE" w:sz="2"/>
            </w:tcBorders>
            <w:shd w:fill="E1F5EE" w:val="clear"/>
            <w:tcMar>
              <w:top w:type="dxa" w:w="100"/>
              <w:left w:type="dxa" w:w="140"/>
              <w:bottom w:type="dxa" w:w="100"/>
              <w:right w:type="dxa" w:w="140"/>
            </w:tcMar>
          </w:tcPr>
          <w:p>
            <w:r>
              <w:rPr>
                <w:rFonts w:ascii="Arial" w:cs="Arial" w:eastAsia="Arial" w:hAnsi="Arial"/>
                <w:b/>
                <w:bCs/>
                <w:color w:val="0F6E56"/>
                <w:sz w:val="19"/>
                <w:szCs w:val="19"/>
              </w:rPr>
              <w:t xml:space="preserve">Critère</w:t>
            </w:r>
          </w:p>
        </w:tc>
        <w:tc>
          <w:tcPr>
            <w:tcW w:type="dxa" w:w="3200"/>
            <w:tcBorders>
              <w:top w:val="single" w:color="D9D7CE" w:sz="2"/>
              <w:left w:val="single" w:color="D9D7CE" w:sz="2"/>
              <w:bottom w:val="single" w:color="D9D7CE" w:sz="2"/>
              <w:right w:val="single" w:color="D9D7CE" w:sz="2"/>
            </w:tcBorders>
            <w:shd w:fill="E1F5EE" w:val="clear"/>
            <w:tcMar>
              <w:top w:type="dxa" w:w="100"/>
              <w:left w:type="dxa" w:w="140"/>
              <w:bottom w:type="dxa" w:w="100"/>
              <w:right w:type="dxa" w:w="140"/>
            </w:tcMar>
          </w:tcPr>
          <w:p>
            <w:r>
              <w:rPr>
                <w:rFonts w:ascii="Arial" w:cs="Arial" w:eastAsia="Arial" w:hAnsi="Arial"/>
                <w:b/>
                <w:bCs/>
                <w:color w:val="0F6E56"/>
                <w:sz w:val="19"/>
                <w:szCs w:val="19"/>
              </w:rPr>
              <w:t xml:space="preserve">Motivation</w:t>
            </w:r>
          </w:p>
        </w:tc>
        <w:tc>
          <w:tcPr>
            <w:tcW w:type="dxa" w:w="3200"/>
            <w:tcBorders>
              <w:top w:val="single" w:color="D9D7CE" w:sz="2"/>
              <w:left w:val="single" w:color="D9D7CE" w:sz="2"/>
              <w:bottom w:val="single" w:color="D9D7CE" w:sz="2"/>
              <w:right w:val="single" w:color="D9D7CE" w:sz="2"/>
            </w:tcBorders>
            <w:shd w:fill="E1F5EE" w:val="clear"/>
            <w:tcMar>
              <w:top w:type="dxa" w:w="100"/>
              <w:left w:type="dxa" w:w="140"/>
              <w:bottom w:type="dxa" w:w="100"/>
              <w:right w:type="dxa" w:w="140"/>
            </w:tcMar>
          </w:tcPr>
          <w:p>
            <w:r>
              <w:rPr>
                <w:rFonts w:ascii="Arial" w:cs="Arial" w:eastAsia="Arial" w:hAnsi="Arial"/>
                <w:b/>
                <w:bCs/>
                <w:color w:val="0F6E56"/>
                <w:sz w:val="19"/>
                <w:szCs w:val="19"/>
              </w:rPr>
              <w:t xml:space="preserve">Engagement</w:t>
            </w:r>
          </w:p>
        </w:tc>
      </w:tr>
      <w:tr>
        <w:tc>
          <w:tcPr>
            <w:tcW w:type="dxa" w:w="33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bCs/>
                <w:sz w:val="18"/>
                <w:szCs w:val="18"/>
              </w:rPr>
              <w:t xml:space="preserve">Horizon temporel</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Court terme, fluctuant</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Long terme, plus stable</w:t>
            </w:r>
          </w:p>
        </w:tc>
      </w:tr>
      <w:tr>
        <w:tc>
          <w:tcPr>
            <w:tcW w:type="dxa" w:w="33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bCs/>
                <w:sz w:val="18"/>
                <w:szCs w:val="18"/>
              </w:rPr>
              <w:t xml:space="preserve">Objet</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Une tâche, un objectif précis</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L'organisation dans son ensemble</w:t>
            </w:r>
          </w:p>
        </w:tc>
      </w:tr>
      <w:tr>
        <w:tc>
          <w:tcPr>
            <w:tcW w:type="dxa" w:w="33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bCs/>
                <w:sz w:val="18"/>
                <w:szCs w:val="18"/>
              </w:rPr>
              <w:t xml:space="preserve">Nature</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Psychologique, individuelle</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Relationnelle, identitaire</w:t>
            </w:r>
          </w:p>
        </w:tc>
      </w:tr>
      <w:tr>
        <w:tc>
          <w:tcPr>
            <w:tcW w:type="dxa" w:w="33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bCs/>
                <w:sz w:val="18"/>
                <w:szCs w:val="18"/>
              </w:rPr>
              <w:t xml:space="preserve">Origine</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Besoins, désirs personnels</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Valeurs partagées, sens, culture</w:t>
            </w:r>
          </w:p>
        </w:tc>
      </w:tr>
      <w:tr>
        <w:tc>
          <w:tcPr>
            <w:tcW w:type="dxa" w:w="33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bCs/>
                <w:sz w:val="18"/>
                <w:szCs w:val="18"/>
              </w:rPr>
              <w:t xml:space="preserve">Conséquence si absent</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Baisse ponctuelle de performance</w:t>
            </w:r>
          </w:p>
        </w:tc>
        <w:tc>
          <w:tcPr>
            <w:tcW w:type="dxa" w:w="3200"/>
            <w:tcBorders>
              <w:top w:val="single" w:color="D9D7CE" w:sz="2"/>
              <w:left w:val="single" w:color="D9D7CE" w:sz="2"/>
              <w:bottom w:val="single" w:color="D9D7CE" w:sz="2"/>
              <w:right w:val="single" w:color="D9D7CE" w:sz="2"/>
            </w:tcBorders>
            <w:tcMar>
              <w:top w:type="dxa" w:w="90"/>
              <w:left w:type="dxa" w:w="140"/>
              <w:bottom w:type="dxa" w:w="90"/>
              <w:right w:type="dxa" w:w="140"/>
            </w:tcMar>
          </w:tcPr>
          <w:p>
            <w:r>
              <w:rPr>
                <w:rFonts w:ascii="Arial" w:cs="Arial" w:eastAsia="Arial" w:hAnsi="Arial"/>
                <w:b w:val="false"/>
                <w:bCs w:val="false"/>
                <w:sz w:val="18"/>
                <w:szCs w:val="18"/>
              </w:rPr>
              <w:t xml:space="preserve">Turnover, désengagement durable</w:t>
            </w:r>
          </w:p>
        </w:tc>
      </w:tr>
    </w:tbl>
    <w:p>
      <w:pPr>
        <w:spacing w:after="140"/>
      </w:pPr>
      <w:r>
        <w:rPr>
          <w:rFonts w:ascii="Arial" w:cs="Arial" w:eastAsia="Arial" w:hAnsi="Arial"/>
          <w:sz w:val="21"/>
          <w:szCs w:val="21"/>
        </w:rPr>
        <w:t xml:space="preserve"/>
      </w:r>
    </w:p>
    <w:p>
      <w:pPr>
        <w:spacing w:after="140"/>
      </w:pPr>
      <w:r>
        <w:rPr>
          <w:rFonts w:ascii="Arial" w:cs="Arial" w:eastAsia="Arial" w:hAnsi="Arial"/>
          <w:sz w:val="21"/>
          <w:szCs w:val="21"/>
        </w:rPr>
        <w:t xml:space="preserve">En résumé : un salarié peut être motivé sans être engagé (il aime ce qu'il fait au quotidien mais n'a pas de lien fort avec l'entreprise), et inversement, un salarié engagé peut traverser une baisse ponctuelle de motivation sans pour autant remettre en cause son attachement à l'organisation. Les deux notions sont complémentaires : l'engagement crée un terreau favorable à la motivation durable, et des actions motivationnelles répétées renforcent l'engagement.</w:t>
      </w:r>
    </w:p>
    <w:p>
      <w:pPr>
        <w:pStyle w:val="Heading2"/>
      </w:pPr>
      <w:r>
        <w:rPr>
          <w:rFonts w:ascii="Arial" w:cs="Arial" w:eastAsia="Arial" w:hAnsi="Arial"/>
          <w:b/>
          <w:bCs/>
          <w:sz w:val="25"/>
          <w:szCs w:val="25"/>
        </w:rPr>
        <w:t xml:space="preserve">4. Exemples concrets d'entreprises</w:t>
      </w:r>
    </w:p>
    <w:p>
      <w:pPr>
        <w:pStyle w:val="Heading3"/>
      </w:pPr>
      <w:r>
        <w:rPr>
          <w:rFonts w:ascii="Arial" w:cs="Arial" w:eastAsia="Arial" w:hAnsi="Arial"/>
          <w:b/>
          <w:bCs/>
          <w:color w:val="854F0B"/>
          <w:sz w:val="22"/>
          <w:szCs w:val="22"/>
        </w:rPr>
        <w:t xml:space="preserve">Décathlon — autonomie et culture managériale</w:t>
      </w:r>
    </w:p>
    <w:p>
      <w:pPr>
        <w:spacing w:after="140"/>
      </w:pPr>
      <w:r>
        <w:rPr>
          <w:rFonts w:ascii="Arial" w:cs="Arial" w:eastAsia="Arial" w:hAnsi="Arial"/>
          <w:sz w:val="21"/>
          <w:szCs w:val="21"/>
        </w:rPr>
        <w:t xml:space="preserve">Décathlon est souvent cité pour son modèle de management fondé sur l'autonomie des équipes magasins et la responsabilisation individuelle (chaque collaborateur dispose d'objectifs et d'une marge de manœuvre sur ses méthodes). Cette autonomie nourrit la motivation intrinsèque décrite par Deci &amp; Ryan.</w:t>
      </w:r>
    </w:p>
    <w:p>
      <w:pPr>
        <w:pStyle w:val="Heading3"/>
      </w:pPr>
      <w:r>
        <w:rPr>
          <w:rFonts w:ascii="Arial" w:cs="Arial" w:eastAsia="Arial" w:hAnsi="Arial"/>
          <w:b/>
          <w:bCs/>
          <w:color w:val="854F0B"/>
          <w:sz w:val="22"/>
          <w:szCs w:val="22"/>
        </w:rPr>
        <w:t xml:space="preserve">Google — sens, reconnaissance et avantages</w:t>
      </w:r>
    </w:p>
    <w:p>
      <w:pPr>
        <w:spacing w:after="140"/>
      </w:pPr>
      <w:r>
        <w:rPr>
          <w:rFonts w:ascii="Arial" w:cs="Arial" w:eastAsia="Arial" w:hAnsi="Arial"/>
          <w:sz w:val="21"/>
          <w:szCs w:val="21"/>
        </w:rPr>
        <w:t xml:space="preserve">Google illustre une politique combinant facteurs d'hygiène élevés (rémunération, avantages, environnement de travail) et facteurs moteurs (projets porteurs de sens, reconnaissance, perspectives d'évolution), en cohérence avec le modèle bifactoriel de Herzberg.</w:t>
      </w:r>
    </w:p>
    <w:p>
      <w:pPr>
        <w:pStyle w:val="Heading3"/>
      </w:pPr>
      <w:r>
        <w:rPr>
          <w:rFonts w:ascii="Arial" w:cs="Arial" w:eastAsia="Arial" w:hAnsi="Arial"/>
          <w:b/>
          <w:bCs/>
          <w:color w:val="854F0B"/>
          <w:sz w:val="22"/>
          <w:szCs w:val="22"/>
        </w:rPr>
        <w:t xml:space="preserve">DGFiP — engagement par la mission de service public</w:t>
      </w:r>
    </w:p>
    <w:p>
      <w:pPr>
        <w:spacing w:after="140"/>
      </w:pPr>
      <w:r>
        <w:rPr>
          <w:rFonts w:ascii="Arial" w:cs="Arial" w:eastAsia="Arial" w:hAnsi="Arial"/>
          <w:sz w:val="21"/>
          <w:szCs w:val="21"/>
        </w:rPr>
        <w:t xml:space="preserve">Dans le secteur public, l'engagement des agents repose souvent davantage sur le sens de la mission (service public, intérêt général) que sur des leviers extrinsèques, ce qui illustre l'importance des facteurs internes dans la construction d'un engagement durable.</w:t>
      </w:r>
    </w:p>
    <w:p>
      <w:r>
        <w:br w:type="page"/>
      </w:r>
    </w:p>
    <w:p>
      <w:pPr>
        <w:pStyle w:val="Heading1"/>
      </w:pPr>
      <w:r>
        <w:rPr>
          <w:rFonts w:ascii="Arial" w:cs="Arial" w:eastAsia="Arial" w:hAnsi="Arial"/>
          <w:b/>
          <w:bCs/>
          <w:sz w:val="32"/>
          <w:szCs w:val="32"/>
        </w:rPr>
        <w:t xml:space="preserve">Module 2 — Les facteurs de motivation</w:t>
      </w:r>
    </w:p>
    <w:p>
      <w:pPr>
        <w:pStyle w:val="Heading2"/>
      </w:pPr>
      <w:r>
        <w:rPr>
          <w:rFonts w:ascii="Arial" w:cs="Arial" w:eastAsia="Arial" w:hAnsi="Arial"/>
          <w:b/>
          <w:bCs/>
          <w:sz w:val="25"/>
          <w:szCs w:val="25"/>
        </w:rPr>
        <w:t xml:space="preserve">1. Facteurs internes et externes</w:t>
      </w:r>
    </w:p>
    <w:p>
      <w:pPr>
        <w:spacing w:after="140"/>
      </w:pPr>
      <w:r>
        <w:rPr>
          <w:rFonts w:ascii="Arial" w:cs="Arial" w:eastAsia="Arial" w:hAnsi="Arial"/>
          <w:sz w:val="21"/>
          <w:szCs w:val="21"/>
        </w:rPr>
        <w:t xml:space="preserve">On distingue traditionnellement deux grandes familles de facteurs de motivation, en écho à la théorie de l'autodétermination.</w:t>
      </w:r>
    </w:p>
    <w:p>
      <w:pPr>
        <w:pStyle w:val="Heading3"/>
      </w:pPr>
      <w:r>
        <w:rPr>
          <w:rFonts w:ascii="Arial" w:cs="Arial" w:eastAsia="Arial" w:hAnsi="Arial"/>
          <w:b/>
          <w:bCs/>
          <w:color w:val="854F0B"/>
          <w:sz w:val="22"/>
          <w:szCs w:val="22"/>
        </w:rPr>
        <w:t xml:space="preserve">Facteurs internes (intrinsèques)</w:t>
      </w:r>
    </w:p>
    <w:p>
      <w:pPr>
        <w:pStyle w:val="ListParagraph"/>
        <w:numPr>
          <w:ilvl w:val="0"/>
          <w:numId w:val="2"/>
        </w:numPr>
        <w:spacing w:after="80"/>
      </w:pPr>
      <w:r>
        <w:rPr>
          <w:rFonts w:ascii="Arial" w:cs="Arial" w:eastAsia="Arial" w:hAnsi="Arial"/>
          <w:sz w:val="21"/>
          <w:szCs w:val="21"/>
        </w:rPr>
        <w:t xml:space="preserve">Le sens donné au travail et l'adéquation avec les valeurs personnelles</w:t>
      </w:r>
    </w:p>
    <w:p>
      <w:pPr>
        <w:pStyle w:val="ListParagraph"/>
        <w:numPr>
          <w:ilvl w:val="0"/>
          <w:numId w:val="2"/>
        </w:numPr>
        <w:spacing w:after="80"/>
      </w:pPr>
      <w:r>
        <w:rPr>
          <w:rFonts w:ascii="Arial" w:cs="Arial" w:eastAsia="Arial" w:hAnsi="Arial"/>
          <w:sz w:val="21"/>
          <w:szCs w:val="21"/>
        </w:rPr>
        <w:t xml:space="preserve">Le sentiment de compétence et de progression</w:t>
      </w:r>
    </w:p>
    <w:p>
      <w:pPr>
        <w:pStyle w:val="ListParagraph"/>
        <w:numPr>
          <w:ilvl w:val="0"/>
          <w:numId w:val="2"/>
        </w:numPr>
        <w:spacing w:after="80"/>
      </w:pPr>
      <w:r>
        <w:rPr>
          <w:rFonts w:ascii="Arial" w:cs="Arial" w:eastAsia="Arial" w:hAnsi="Arial"/>
          <w:sz w:val="21"/>
          <w:szCs w:val="21"/>
        </w:rPr>
        <w:t xml:space="preserve">L'autonomie dans l'organisation de son travail</w:t>
      </w:r>
    </w:p>
    <w:p>
      <w:pPr>
        <w:pStyle w:val="ListParagraph"/>
        <w:numPr>
          <w:ilvl w:val="0"/>
          <w:numId w:val="2"/>
        </w:numPr>
        <w:spacing w:after="80"/>
      </w:pPr>
      <w:r>
        <w:rPr>
          <w:rFonts w:ascii="Arial" w:cs="Arial" w:eastAsia="Arial" w:hAnsi="Arial"/>
          <w:sz w:val="21"/>
          <w:szCs w:val="21"/>
        </w:rPr>
        <w:t xml:space="preserve">Le besoin de reconnaissance et d'accomplissement personnel</w:t>
      </w:r>
    </w:p>
    <w:p>
      <w:pPr>
        <w:pStyle w:val="Heading3"/>
      </w:pPr>
      <w:r>
        <w:rPr>
          <w:rFonts w:ascii="Arial" w:cs="Arial" w:eastAsia="Arial" w:hAnsi="Arial"/>
          <w:b/>
          <w:bCs/>
          <w:color w:val="854F0B"/>
          <w:sz w:val="22"/>
          <w:szCs w:val="22"/>
        </w:rPr>
        <w:t xml:space="preserve">Facteurs externes (extrinsèques)</w:t>
      </w:r>
    </w:p>
    <w:p>
      <w:pPr>
        <w:pStyle w:val="ListParagraph"/>
        <w:numPr>
          <w:ilvl w:val="0"/>
          <w:numId w:val="2"/>
        </w:numPr>
        <w:spacing w:after="80"/>
      </w:pPr>
      <w:r>
        <w:rPr>
          <w:rFonts w:ascii="Arial" w:cs="Arial" w:eastAsia="Arial" w:hAnsi="Arial"/>
          <w:sz w:val="21"/>
          <w:szCs w:val="21"/>
        </w:rPr>
        <w:t xml:space="preserve">La rémunération fixe et variable, les primes</w:t>
      </w:r>
    </w:p>
    <w:p>
      <w:pPr>
        <w:pStyle w:val="ListParagraph"/>
        <w:numPr>
          <w:ilvl w:val="0"/>
          <w:numId w:val="2"/>
        </w:numPr>
        <w:spacing w:after="80"/>
      </w:pPr>
      <w:r>
        <w:rPr>
          <w:rFonts w:ascii="Arial" w:cs="Arial" w:eastAsia="Arial" w:hAnsi="Arial"/>
          <w:sz w:val="21"/>
          <w:szCs w:val="21"/>
        </w:rPr>
        <w:t xml:space="preserve">Les avantages sociaux (mutuelle, tickets restaurant, télétravail)</w:t>
      </w:r>
    </w:p>
    <w:p>
      <w:pPr>
        <w:pStyle w:val="ListParagraph"/>
        <w:numPr>
          <w:ilvl w:val="0"/>
          <w:numId w:val="2"/>
        </w:numPr>
        <w:spacing w:after="80"/>
      </w:pPr>
      <w:r>
        <w:rPr>
          <w:rFonts w:ascii="Arial" w:cs="Arial" w:eastAsia="Arial" w:hAnsi="Arial"/>
          <w:sz w:val="21"/>
          <w:szCs w:val="21"/>
        </w:rPr>
        <w:t xml:space="preserve">Les conditions matérielles de travail (locaux, outils, équipements)</w:t>
      </w:r>
    </w:p>
    <w:p>
      <w:pPr>
        <w:pStyle w:val="ListParagraph"/>
        <w:numPr>
          <w:ilvl w:val="0"/>
          <w:numId w:val="2"/>
        </w:numPr>
        <w:spacing w:after="80"/>
      </w:pPr>
      <w:r>
        <w:rPr>
          <w:rFonts w:ascii="Arial" w:cs="Arial" w:eastAsia="Arial" w:hAnsi="Arial"/>
          <w:sz w:val="21"/>
          <w:szCs w:val="21"/>
        </w:rPr>
        <w:t xml:space="preserve">La sécurité de l'emploi et les perspectives de carrière</w:t>
      </w:r>
    </w:p>
    <w:p>
      <w:pPr>
        <w:spacing w:after="140"/>
      </w:pPr>
      <w:r>
        <w:rPr>
          <w:rFonts w:ascii="Arial" w:cs="Arial" w:eastAsia="Arial" w:hAnsi="Arial"/>
          <w:sz w:val="21"/>
          <w:szCs w:val="21"/>
        </w:rPr>
        <w:t xml:space="preserve">Ces deux familles de facteurs ne sont pas opposées mais complémentaires : les facteurs externes créent les conditions minimales nécessaires (cf. facteurs d'hygiène de Herzberg), tandis que les facteurs internes constituent les véritables moteurs de l'engagement durable.</w:t>
      </w:r>
    </w:p>
    <w:p>
      <w:pPr>
        <w:pStyle w:val="Heading2"/>
      </w:pPr>
      <w:r>
        <w:rPr>
          <w:rFonts w:ascii="Arial" w:cs="Arial" w:eastAsia="Arial" w:hAnsi="Arial"/>
          <w:b/>
          <w:bCs/>
          <w:sz w:val="25"/>
          <w:szCs w:val="25"/>
        </w:rPr>
        <w:t xml:space="preserve">2. Le rôle du manager dans la motivation</w:t>
      </w:r>
    </w:p>
    <w:p>
      <w:pPr>
        <w:spacing w:after="140"/>
      </w:pPr>
      <w:r>
        <w:rPr>
          <w:rFonts w:ascii="Arial" w:cs="Arial" w:eastAsia="Arial" w:hAnsi="Arial"/>
          <w:sz w:val="21"/>
          <w:szCs w:val="21"/>
        </w:rPr>
        <w:t xml:space="preserve">Le manager occupe une position centrale dans l'activation quotidienne de la motivation de ses équipes. Son rôle s'articule autour de plusieurs leviers :</w:t>
      </w:r>
    </w:p>
    <w:p>
      <w:pPr>
        <w:pStyle w:val="ListParagraph"/>
        <w:numPr>
          <w:ilvl w:val="0"/>
          <w:numId w:val="2"/>
        </w:numPr>
        <w:spacing w:after="80"/>
      </w:pPr>
      <w:r>
        <w:rPr>
          <w:rFonts w:ascii="Arial" w:cs="Arial" w:eastAsia="Arial" w:hAnsi="Arial"/>
          <w:sz w:val="21"/>
          <w:szCs w:val="21"/>
        </w:rPr>
        <w:t xml:space="preserve">Donner du sens : expliquer le pourquoi des missions, relier le travail individuel à la stratégie globale</w:t>
      </w:r>
    </w:p>
    <w:p>
      <w:pPr>
        <w:pStyle w:val="ListParagraph"/>
        <w:numPr>
          <w:ilvl w:val="0"/>
          <w:numId w:val="2"/>
        </w:numPr>
        <w:spacing w:after="80"/>
      </w:pPr>
      <w:r>
        <w:rPr>
          <w:rFonts w:ascii="Arial" w:cs="Arial" w:eastAsia="Arial" w:hAnsi="Arial"/>
          <w:sz w:val="21"/>
          <w:szCs w:val="21"/>
        </w:rPr>
        <w:t xml:space="preserve">Fixer des objectifs clairs, atteignables et mesurables (logique SMART)</w:t>
      </w:r>
    </w:p>
    <w:p>
      <w:pPr>
        <w:pStyle w:val="ListParagraph"/>
        <w:numPr>
          <w:ilvl w:val="0"/>
          <w:numId w:val="2"/>
        </w:numPr>
        <w:spacing w:after="80"/>
      </w:pPr>
      <w:r>
        <w:rPr>
          <w:rFonts w:ascii="Arial" w:cs="Arial" w:eastAsia="Arial" w:hAnsi="Arial"/>
          <w:sz w:val="21"/>
          <w:szCs w:val="21"/>
        </w:rPr>
        <w:t xml:space="preserve">Reconnaître les efforts et les réussites, de manière régulière et sincère</w:t>
      </w:r>
    </w:p>
    <w:p>
      <w:pPr>
        <w:pStyle w:val="ListParagraph"/>
        <w:numPr>
          <w:ilvl w:val="0"/>
          <w:numId w:val="2"/>
        </w:numPr>
        <w:spacing w:after="80"/>
      </w:pPr>
      <w:r>
        <w:rPr>
          <w:rFonts w:ascii="Arial" w:cs="Arial" w:eastAsia="Arial" w:hAnsi="Arial"/>
          <w:sz w:val="21"/>
          <w:szCs w:val="21"/>
        </w:rPr>
        <w:t xml:space="preserve">Favoriser l'autonomie et la prise d'initiative</w:t>
      </w:r>
    </w:p>
    <w:p>
      <w:pPr>
        <w:pStyle w:val="ListParagraph"/>
        <w:numPr>
          <w:ilvl w:val="0"/>
          <w:numId w:val="2"/>
        </w:numPr>
        <w:spacing w:after="80"/>
      </w:pPr>
      <w:r>
        <w:rPr>
          <w:rFonts w:ascii="Arial" w:cs="Arial" w:eastAsia="Arial" w:hAnsi="Arial"/>
          <w:sz w:val="21"/>
          <w:szCs w:val="21"/>
        </w:rPr>
        <w:t xml:space="preserve">Accompagner le développement des compétences (formation, feedback constructif)</w:t>
      </w:r>
    </w:p>
    <w:p>
      <w:pPr>
        <w:pBdr>
          <w:left w:val="single" w:color="0F6E56" w:sz="12" w:space="8"/>
        </w:pBdr>
        <w:spacing w:after="140" w:before="100"/>
        <w:ind w:left="360"/>
      </w:pPr>
      <w:r>
        <w:rPr>
          <w:rFonts w:ascii="Arial" w:cs="Arial" w:eastAsia="Arial" w:hAnsi="Arial"/>
          <w:i/>
          <w:iCs/>
          <w:color w:val="444441"/>
          <w:sz w:val="20"/>
          <w:szCs w:val="20"/>
        </w:rPr>
        <w:t xml:space="preserve">« Un collaborateur ne quitte pas une entreprise, il quitte un manager » — adage largement repris en GRH pour souligner le poids de la relation managériale directe dans la motivation et la rétention des salariés.</w:t>
      </w:r>
    </w:p>
    <w:p>
      <w:pPr>
        <w:pStyle w:val="Heading2"/>
      </w:pPr>
      <w:r>
        <w:rPr>
          <w:rFonts w:ascii="Arial" w:cs="Arial" w:eastAsia="Arial" w:hAnsi="Arial"/>
          <w:b/>
          <w:bCs/>
          <w:sz w:val="25"/>
          <w:szCs w:val="25"/>
        </w:rPr>
        <w:t xml:space="preserve">3. Les conditions de travail comme facteur de motivation</w:t>
      </w:r>
    </w:p>
    <w:p>
      <w:pPr>
        <w:spacing w:after="140"/>
      </w:pPr>
      <w:r>
        <w:rPr>
          <w:rFonts w:ascii="Arial" w:cs="Arial" w:eastAsia="Arial" w:hAnsi="Arial"/>
          <w:sz w:val="21"/>
          <w:szCs w:val="21"/>
        </w:rPr>
        <w:t xml:space="preserve">Les conditions de travail regroupent l'ensemble des éléments matériels, organisationnels et relationnels qui encadrent l'exercice d'une activité professionnelle : aménagement des espaces, charge de travail, horaires, équipements, mais aussi qualité des relations interpersonnelles et soutien hiérarchique.</w:t>
      </w:r>
    </w:p>
    <w:p>
      <w:pPr>
        <w:spacing w:after="140"/>
      </w:pPr>
      <w:r>
        <w:rPr>
          <w:rFonts w:ascii="Arial" w:cs="Arial" w:eastAsia="Arial" w:hAnsi="Arial"/>
          <w:sz w:val="21"/>
          <w:szCs w:val="21"/>
        </w:rPr>
        <w:t xml:space="preserve">Des conditions de travail dégradées agissent comme un frein puissant à la motivation, quels que soient par ailleurs les facteurs internes mobilisés (sens, autonomie). Elles constituent en cela un facteur d'hygiène au sens de Herzberg : leur amélioration ne suffit pas à motiver durablement, mais leur dégradation suffit à démotiver.</w:t>
      </w:r>
    </w:p>
    <w:p>
      <w:pPr>
        <w:spacing w:after="140"/>
      </w:pPr>
      <w:r>
        <w:rPr>
          <w:rFonts w:ascii="Arial" w:cs="Arial" w:eastAsia="Arial" w:hAnsi="Arial"/>
          <w:sz w:val="21"/>
          <w:szCs w:val="21"/>
        </w:rPr>
        <w:t xml:space="preserve">C'est précisément ce lien entre conditions de travail, motivation et santé au travail qui fait la jonction avec la notion de qualité de vie au travail (QVT), approfondie en semaine 2 de ce MOOC.</w:t>
      </w:r>
    </w:p>
    <w:p>
      <w:pPr>
        <w:pStyle w:val="Heading2"/>
      </w:pPr>
      <w:r>
        <w:rPr>
          <w:rFonts w:ascii="Arial" w:cs="Arial" w:eastAsia="Arial" w:hAnsi="Arial"/>
          <w:b/>
          <w:bCs/>
          <w:sz w:val="25"/>
          <w:szCs w:val="25"/>
        </w:rPr>
        <w:t xml:space="preserve">Synthèse de la semaine 1</w:t>
      </w:r>
    </w:p>
    <w:p>
      <w:pPr>
        <w:pStyle w:val="ListParagraph"/>
        <w:numPr>
          <w:ilvl w:val="0"/>
          <w:numId w:val="2"/>
        </w:numPr>
        <w:spacing w:after="80"/>
      </w:pPr>
      <w:r>
        <w:rPr>
          <w:rFonts w:ascii="Arial" w:cs="Arial" w:eastAsia="Arial" w:hAnsi="Arial"/>
          <w:sz w:val="21"/>
          <w:szCs w:val="21"/>
        </w:rPr>
        <w:t xml:space="preserve">La motivation est un état psychologique individuel et fluctuant ; l'engagement est un lien durable à l'organisation</w:t>
      </w:r>
    </w:p>
    <w:p>
      <w:pPr>
        <w:pStyle w:val="ListParagraph"/>
        <w:numPr>
          <w:ilvl w:val="0"/>
          <w:numId w:val="2"/>
        </w:numPr>
        <w:spacing w:after="80"/>
      </w:pPr>
      <w:r>
        <w:rPr>
          <w:rFonts w:ascii="Arial" w:cs="Arial" w:eastAsia="Arial" w:hAnsi="Arial"/>
          <w:sz w:val="21"/>
          <w:szCs w:val="21"/>
        </w:rPr>
        <w:t xml:space="preserve">Les deux notions sont complémentaires et se renforcent mutuellement</w:t>
      </w:r>
    </w:p>
    <w:p>
      <w:pPr>
        <w:pStyle w:val="ListParagraph"/>
        <w:numPr>
          <w:ilvl w:val="0"/>
          <w:numId w:val="2"/>
        </w:numPr>
        <w:spacing w:after="80"/>
      </w:pPr>
      <w:r>
        <w:rPr>
          <w:rFonts w:ascii="Arial" w:cs="Arial" w:eastAsia="Arial" w:hAnsi="Arial"/>
          <w:sz w:val="21"/>
          <w:szCs w:val="21"/>
        </w:rPr>
        <w:t xml:space="preserve">Les facteurs de motivation se répartissent entre facteurs internes (sens, autonomie, reconnaissance) et externes (rémunération, conditions de travail)</w:t>
      </w:r>
    </w:p>
    <w:p>
      <w:pPr>
        <w:pStyle w:val="ListParagraph"/>
        <w:numPr>
          <w:ilvl w:val="0"/>
          <w:numId w:val="2"/>
        </w:numPr>
        <w:spacing w:after="80"/>
      </w:pPr>
      <w:r>
        <w:rPr>
          <w:rFonts w:ascii="Arial" w:cs="Arial" w:eastAsia="Arial" w:hAnsi="Arial"/>
          <w:sz w:val="21"/>
          <w:szCs w:val="21"/>
        </w:rPr>
        <w:t xml:space="preserve">Le manager est un acteur clé de l'activation quotidienne de la motivation</w:t>
      </w:r>
    </w:p>
    <w:p>
      <w:pPr>
        <w:pStyle w:val="ListParagraph"/>
        <w:numPr>
          <w:ilvl w:val="0"/>
          <w:numId w:val="2"/>
        </w:numPr>
        <w:spacing w:after="80"/>
      </w:pPr>
      <w:r>
        <w:rPr>
          <w:rFonts w:ascii="Arial" w:cs="Arial" w:eastAsia="Arial" w:hAnsi="Arial"/>
          <w:sz w:val="21"/>
          <w:szCs w:val="21"/>
        </w:rPr>
        <w:t xml:space="preserve">Les conditions de travail font le pont vers la notion de QVT, développée en semaine 2</w:t>
      </w:r>
    </w:p>
    <w:p>
      <w:pPr>
        <w:pStyle w:val="Heading2"/>
      </w:pPr>
      <w:r>
        <w:rPr>
          <w:rFonts w:ascii="Arial" w:cs="Arial" w:eastAsia="Arial" w:hAnsi="Arial"/>
          <w:b/>
          <w:bCs/>
          <w:sz w:val="25"/>
          <w:szCs w:val="25"/>
        </w:rPr>
        <w:t xml:space="preserve">Bibliographie indicative</w:t>
      </w:r>
    </w:p>
    <w:p>
      <w:pPr>
        <w:pStyle w:val="ListParagraph"/>
        <w:numPr>
          <w:ilvl w:val="0"/>
          <w:numId w:val="2"/>
        </w:numPr>
        <w:spacing w:after="80"/>
      </w:pPr>
      <w:r>
        <w:rPr>
          <w:rFonts w:ascii="Arial" w:cs="Arial" w:eastAsia="Arial" w:hAnsi="Arial"/>
          <w:sz w:val="21"/>
          <w:szCs w:val="21"/>
        </w:rPr>
        <w:t xml:space="preserve">Maslow, A. H. (1943). A Theory of Human Motivation.</w:t>
      </w:r>
    </w:p>
    <w:p>
      <w:pPr>
        <w:pStyle w:val="ListParagraph"/>
        <w:numPr>
          <w:ilvl w:val="0"/>
          <w:numId w:val="2"/>
        </w:numPr>
        <w:spacing w:after="80"/>
      </w:pPr>
      <w:r>
        <w:rPr>
          <w:rFonts w:ascii="Arial" w:cs="Arial" w:eastAsia="Arial" w:hAnsi="Arial"/>
          <w:sz w:val="21"/>
          <w:szCs w:val="21"/>
        </w:rPr>
        <w:t xml:space="preserve">Herzberg, F. (1959). The Motivation to Work.</w:t>
      </w:r>
    </w:p>
    <w:p>
      <w:pPr>
        <w:pStyle w:val="ListParagraph"/>
        <w:numPr>
          <w:ilvl w:val="0"/>
          <w:numId w:val="2"/>
        </w:numPr>
        <w:spacing w:after="80"/>
      </w:pPr>
      <w:r>
        <w:rPr>
          <w:rFonts w:ascii="Arial" w:cs="Arial" w:eastAsia="Arial" w:hAnsi="Arial"/>
          <w:sz w:val="21"/>
          <w:szCs w:val="21"/>
        </w:rPr>
        <w:t xml:space="preserve">Deci, E. L. &amp; Ryan, R. M. (1985). Self-Determination Theory.</w:t>
      </w:r>
    </w:p>
    <w:p>
      <w:pPr>
        <w:pStyle w:val="ListParagraph"/>
        <w:numPr>
          <w:ilvl w:val="0"/>
          <w:numId w:val="2"/>
        </w:numPr>
        <w:spacing w:after="80"/>
      </w:pPr>
      <w:r>
        <w:rPr>
          <w:rFonts w:ascii="Arial" w:cs="Arial" w:eastAsia="Arial" w:hAnsi="Arial"/>
          <w:sz w:val="21"/>
          <w:szCs w:val="21"/>
        </w:rPr>
        <w:t xml:space="preserve">Gallup (rapport annuel). State of the Global Workplace.</w:t>
      </w:r>
    </w:p>
    <w:p>
      <w:pPr>
        <w:pStyle w:val="ListParagraph"/>
        <w:numPr>
          <w:ilvl w:val="0"/>
          <w:numId w:val="2"/>
        </w:numPr>
        <w:spacing w:after="80"/>
      </w:pPr>
      <w:r>
        <w:rPr>
          <w:rFonts w:ascii="Arial" w:cs="Arial" w:eastAsia="Arial" w:hAnsi="Arial"/>
          <w:sz w:val="21"/>
          <w:szCs w:val="21"/>
        </w:rPr>
        <w:t xml:space="preserve">ANACT — Ressources sur la qualité de vie au travail (anact.fr)</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20"/>
      <w:outlineLvl w:val="0"/>
    </w:pPr>
    <w:rPr>
      <w:rFonts w:ascii="Arial" w:cs="Arial" w:eastAsia="Arial" w:hAnsi="Arial"/>
      <w:b/>
      <w:bCs/>
      <w:color w:val="0F6E56"/>
      <w:sz w:val="32"/>
      <w:szCs w:val="32"/>
    </w:rPr>
  </w:style>
  <w:style w:type="paragraph" w:styleId="Heading2">
    <w:name w:val="Heading 2"/>
    <w:basedOn w:val="Normal"/>
    <w:next w:val="Normal"/>
    <w:qFormat/>
    <w:pPr>
      <w:spacing w:after="140" w:before="260"/>
      <w:outlineLvl w:val="1"/>
    </w:pPr>
    <w:rPr>
      <w:rFonts w:ascii="Arial" w:cs="Arial" w:eastAsia="Arial" w:hAnsi="Arial"/>
      <w:b/>
      <w:bCs/>
      <w:color w:val="2C2C2A"/>
      <w:sz w:val="25"/>
      <w:szCs w:val="25"/>
    </w:rPr>
  </w:style>
  <w:style w:type="paragraph" w:styleId="Heading3">
    <w:name w:val="Heading 3"/>
    <w:basedOn w:val="Normal"/>
    <w:next w:val="Normal"/>
    <w:qFormat/>
    <w:pPr>
      <w:spacing w:after="100" w:before="200"/>
      <w:outlineLvl w:val="2"/>
    </w:pPr>
    <w:rPr>
      <w:rFonts w:ascii="Arial" w:cs="Arial" w:eastAsia="Arial" w:hAnsi="Arial"/>
      <w:b/>
      <w:bCs/>
      <w:color w:val="854F0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2026-06-21T19:25:21.545Z</dcterms:created>
  <dcterms:modified xsi:type="dcterms:W3CDTF">2026-06-21T19:25:21.546Z</dcterms:modified>
</cp:coreProperties>
</file>

<file path=docProps/custom.xml><?xml version="1.0" encoding="utf-8"?>
<Properties xmlns="http://schemas.openxmlformats.org/officeDocument/2006/custom-properties" xmlns:vt="http://schemas.openxmlformats.org/officeDocument/2006/docPropsVTypes"/>
</file>