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color w:val="5F5E5A"/>
          <w:sz w:val="18"/>
          <w:szCs w:val="18"/>
        </w:rPr>
        <w:t xml:space="preserve">MOOC — Motivation et engagement des salariés : améliorer la QVT en entreprise</w:t>
      </w:r>
    </w:p>
    <w:p>
      <w:pPr>
        <w:spacing w:after="20"/>
      </w:pPr>
      <w:r>
        <w:rPr>
          <w:rFonts w:ascii="Arial" w:cs="Arial" w:eastAsia="Arial" w:hAnsi="Arial"/>
          <w:b/>
          <w:bCs/>
          <w:color w:val="0F6E56"/>
          <w:sz w:val="36"/>
          <w:szCs w:val="36"/>
        </w:rPr>
        <w:t xml:space="preserve">Semaine 3 — Mettre en pratique</w:t>
      </w:r>
    </w:p>
    <w:p>
      <w:pPr>
        <w:spacing w:after="300"/>
      </w:pPr>
      <w:r>
        <w:rPr>
          <w:rFonts w:ascii="Arial" w:cs="Arial" w:eastAsia="Arial" w:hAnsi="Arial"/>
          <w:i/>
          <w:iCs/>
          <w:color w:val="5F5E5A"/>
          <w:sz w:val="20"/>
          <w:szCs w:val="20"/>
        </w:rPr>
        <w:t xml:space="preserve">Document détaillé — Cours complet</w:t>
      </w:r>
    </w:p>
    <w:p>
      <w:pPr>
        <w:pStyle w:val="Heading2"/>
      </w:pPr>
      <w:r>
        <w:rPr>
          <w:rFonts w:ascii="Arial" w:cs="Arial" w:eastAsia="Arial" w:hAnsi="Arial"/>
          <w:b/>
          <w:bCs/>
          <w:sz w:val="25"/>
          <w:szCs w:val="25"/>
        </w:rPr>
        <w:t xml:space="preserve">Objectifs pédagogiques</w:t>
      </w:r>
    </w:p>
    <w:p>
      <w:pPr>
        <w:pStyle w:val="ListParagraph"/>
        <w:numPr>
          <w:ilvl w:val="0"/>
          <w:numId w:val="2"/>
        </w:numPr>
        <w:spacing w:after="80"/>
      </w:pPr>
      <w:r>
        <w:rPr>
          <w:rFonts w:ascii="Arial" w:cs="Arial" w:eastAsia="Arial" w:hAnsi="Arial"/>
          <w:sz w:val="21"/>
          <w:szCs w:val="21"/>
        </w:rPr>
        <w:t xml:space="preserve">Proposer des actions concrètes pour développer la motivation et l'engagement</w:t>
      </w:r>
    </w:p>
    <w:p>
      <w:pPr>
        <w:pStyle w:val="ListParagraph"/>
        <w:numPr>
          <w:ilvl w:val="0"/>
          <w:numId w:val="2"/>
        </w:numPr>
        <w:spacing w:after="80"/>
      </w:pPr>
      <w:r>
        <w:rPr>
          <w:rFonts w:ascii="Arial" w:cs="Arial" w:eastAsia="Arial" w:hAnsi="Arial"/>
          <w:sz w:val="21"/>
          <w:szCs w:val="21"/>
        </w:rPr>
        <w:t xml:space="preserve">Construire un plan QVT structuré, outillé et évaluable</w:t>
      </w:r>
    </w:p>
    <w:p>
      <w:pPr>
        <w:pStyle w:val="Heading1"/>
      </w:pPr>
      <w:r>
        <w:rPr>
          <w:rFonts w:ascii="Arial" w:cs="Arial" w:eastAsia="Arial" w:hAnsi="Arial"/>
          <w:b/>
          <w:bCs/>
          <w:sz w:val="32"/>
          <w:szCs w:val="32"/>
        </w:rPr>
        <w:t xml:space="preserve">Module 5 — Développer la motivation et l'engagement</w:t>
      </w:r>
    </w:p>
    <w:p>
      <w:pPr>
        <w:pStyle w:val="Heading2"/>
      </w:pPr>
      <w:r>
        <w:rPr>
          <w:rFonts w:ascii="Arial" w:cs="Arial" w:eastAsia="Arial" w:hAnsi="Arial"/>
          <w:b/>
          <w:bCs/>
          <w:sz w:val="25"/>
          <w:szCs w:val="25"/>
        </w:rPr>
        <w:t xml:space="preserve">1. Les actions RH</w:t>
      </w:r>
    </w:p>
    <w:p>
      <w:pPr>
        <w:spacing w:after="140"/>
      </w:pPr>
      <w:r>
        <w:rPr>
          <w:rFonts w:ascii="Arial" w:cs="Arial" w:eastAsia="Arial" w:hAnsi="Arial"/>
          <w:sz w:val="21"/>
          <w:szCs w:val="21"/>
        </w:rPr>
        <w:t xml:space="preserve">Les équipes RH disposent d'un éventail d'actions concrètes pour agir sur la motivation et l'engagement. Ces actions doivent être cohérentes entre elles et s'inscrire dans une politique RH globale plutôt qu'être déployées de façon isolée.</w:t>
      </w:r>
    </w:p>
    <w:p>
      <w:pPr>
        <w:pStyle w:val="Heading3"/>
      </w:pPr>
      <w:r>
        <w:rPr>
          <w:rFonts w:ascii="Arial" w:cs="Arial" w:eastAsia="Arial" w:hAnsi="Arial"/>
          <w:b/>
          <w:bCs/>
          <w:color w:val="854F0B"/>
          <w:sz w:val="22"/>
          <w:szCs w:val="22"/>
        </w:rPr>
        <w:t xml:space="preserve">La politique de reconnaissance</w:t>
      </w:r>
    </w:p>
    <w:p>
      <w:pPr>
        <w:spacing w:after="140"/>
      </w:pPr>
      <w:r>
        <w:rPr>
          <w:rFonts w:ascii="Arial" w:cs="Arial" w:eastAsia="Arial" w:hAnsi="Arial"/>
          <w:sz w:val="21"/>
          <w:szCs w:val="21"/>
        </w:rPr>
        <w:t xml:space="preserve">La reconnaissance au travail est l'un des leviers les plus puissants sur la motivation, et l'un des plus sous-exploités. Elle ne se résume pas à la rémunération — elle prend des formes variées à quatre niveaux distincts (Brun &amp; Dugas, 2005) :</w:t>
      </w:r>
    </w:p>
    <w:p>
      <w:pPr>
        <w:pStyle w:val="ListParagraph"/>
        <w:numPr>
          <w:ilvl w:val="0"/>
          <w:numId w:val="2"/>
        </w:numPr>
        <w:spacing w:after="80"/>
      </w:pPr>
      <w:r>
        <w:rPr>
          <w:rFonts w:ascii="Arial" w:cs="Arial" w:eastAsia="Arial" w:hAnsi="Arial"/>
          <w:sz w:val="21"/>
          <w:szCs w:val="21"/>
        </w:rPr>
        <w:t xml:space="preserve">La reconnaissance de la personne : s'intéresser au salarié en tant qu'individu, au-delà de son rôle</w:t>
      </w:r>
    </w:p>
    <w:p>
      <w:pPr>
        <w:pStyle w:val="ListParagraph"/>
        <w:numPr>
          <w:ilvl w:val="0"/>
          <w:numId w:val="2"/>
        </w:numPr>
        <w:spacing w:after="80"/>
      </w:pPr>
      <w:r>
        <w:rPr>
          <w:rFonts w:ascii="Arial" w:cs="Arial" w:eastAsia="Arial" w:hAnsi="Arial"/>
          <w:sz w:val="21"/>
          <w:szCs w:val="21"/>
        </w:rPr>
        <w:t xml:space="preserve">La reconnaissance des résultats : valoriser les performances, les objectifs atteints</w:t>
      </w:r>
    </w:p>
    <w:p>
      <w:pPr>
        <w:pStyle w:val="ListParagraph"/>
        <w:numPr>
          <w:ilvl w:val="0"/>
          <w:numId w:val="2"/>
        </w:numPr>
        <w:spacing w:after="80"/>
      </w:pPr>
      <w:r>
        <w:rPr>
          <w:rFonts w:ascii="Arial" w:cs="Arial" w:eastAsia="Arial" w:hAnsi="Arial"/>
          <w:sz w:val="21"/>
          <w:szCs w:val="21"/>
        </w:rPr>
        <w:t xml:space="preserve">La reconnaissance des compétences : reconnaître l'expertise spécifique et confier des missions à la hauteur</w:t>
      </w:r>
    </w:p>
    <w:p>
      <w:pPr>
        <w:pStyle w:val="ListParagraph"/>
        <w:numPr>
          <w:ilvl w:val="0"/>
          <w:numId w:val="2"/>
        </w:numPr>
        <w:spacing w:after="80"/>
      </w:pPr>
      <w:r>
        <w:rPr>
          <w:rFonts w:ascii="Arial" w:cs="Arial" w:eastAsia="Arial" w:hAnsi="Arial"/>
          <w:sz w:val="21"/>
          <w:szCs w:val="21"/>
        </w:rPr>
        <w:t xml:space="preserve">La reconnaissance des efforts : valoriser l'investissement et la persévérance, même sans résultat immédiat</w:t>
      </w:r>
    </w:p>
    <w:p>
      <w:pPr>
        <w:spacing w:after="140"/>
      </w:pPr>
      <w:r>
        <w:rPr>
          <w:rFonts w:ascii="Arial" w:cs="Arial" w:eastAsia="Arial" w:hAnsi="Arial"/>
          <w:sz w:val="21"/>
          <w:szCs w:val="21"/>
        </w:rPr>
        <w:t xml:space="preserve">Ce dernier niveau est souvent le plus absent alors qu'il est le plus structurant pour maintenir la motivation dans la durée — notamment dans des contextes d'incertitude ou de projets longs.</w:t>
      </w:r>
    </w:p>
    <w:p>
      <w:pPr>
        <w:pStyle w:val="Heading3"/>
      </w:pPr>
      <w:r>
        <w:rPr>
          <w:rFonts w:ascii="Arial" w:cs="Arial" w:eastAsia="Arial" w:hAnsi="Arial"/>
          <w:b/>
          <w:bCs/>
          <w:color w:val="854F0B"/>
          <w:sz w:val="22"/>
          <w:szCs w:val="22"/>
        </w:rPr>
        <w:t xml:space="preserve">La politique de formation</w:t>
      </w:r>
    </w:p>
    <w:p>
      <w:pPr>
        <w:spacing w:after="140"/>
      </w:pPr>
      <w:r>
        <w:rPr>
          <w:rFonts w:ascii="Arial" w:cs="Arial" w:eastAsia="Arial" w:hAnsi="Arial"/>
          <w:sz w:val="21"/>
          <w:szCs w:val="21"/>
        </w:rPr>
        <w:t xml:space="preserve">Investir dans la formation est un signal fort envoyé aux salariés : l'entreprise croit en leur développement et en leur avenir. La formation nourrit les besoins d'accomplissement (Maslow), de compétence et d'autonomie (Deci &amp; Ryan), et développe l'employabilité — ce qui renforce la confiance et l'engagement.</w:t>
      </w:r>
    </w:p>
    <w:p>
      <w:pPr>
        <w:spacing w:after="140"/>
      </w:pPr>
      <w:r>
        <w:rPr>
          <w:rFonts w:ascii="Arial" w:cs="Arial" w:eastAsia="Arial" w:hAnsi="Arial"/>
          <w:sz w:val="21"/>
          <w:szCs w:val="21"/>
        </w:rPr>
        <w:t xml:space="preserve">Le Plan de Développement des Compétences (PDC), obligatoire en France, est l'outil RH de référence pour structurer la politique de formation. Il doit être co-construit avec les salariés via l'entretien professionnel, obligatoire tous les deux ans.</w:t>
      </w:r>
    </w:p>
    <w:p>
      <w:pPr>
        <w:pStyle w:val="Heading3"/>
      </w:pPr>
      <w:r>
        <w:rPr>
          <w:rFonts w:ascii="Arial" w:cs="Arial" w:eastAsia="Arial" w:hAnsi="Arial"/>
          <w:b/>
          <w:bCs/>
          <w:color w:val="854F0B"/>
          <w:sz w:val="22"/>
          <w:szCs w:val="22"/>
        </w:rPr>
        <w:t xml:space="preserve">La mobilité interne</w:t>
      </w:r>
    </w:p>
    <w:p>
      <w:pPr>
        <w:spacing w:after="140"/>
      </w:pPr>
      <w:r>
        <w:rPr>
          <w:rFonts w:ascii="Arial" w:cs="Arial" w:eastAsia="Arial" w:hAnsi="Arial"/>
          <w:sz w:val="21"/>
          <w:szCs w:val="21"/>
        </w:rPr>
        <w:t xml:space="preserve">Offrir des perspectives d'évolution interne est un levier puissant de rétention et d'engagement, surtout pour les profils à fort potentiel. La mobilité fonctionnelle (changement de métier), géographique (changement de site) ou hiérarchique (promotion) permet de renouveler la motivation en apportant de nouveaux défis sans quitter l'organisation.</w:t>
      </w:r>
    </w:p>
    <w:p>
      <w:pPr>
        <w:pStyle w:val="Heading3"/>
      </w:pPr>
      <w:r>
        <w:rPr>
          <w:rFonts w:ascii="Arial" w:cs="Arial" w:eastAsia="Arial" w:hAnsi="Arial"/>
          <w:b/>
          <w:bCs/>
          <w:color w:val="854F0B"/>
          <w:sz w:val="22"/>
          <w:szCs w:val="22"/>
        </w:rPr>
        <w:t xml:space="preserve">L'onboarding</w:t>
      </w:r>
    </w:p>
    <w:p>
      <w:pPr>
        <w:spacing w:after="140"/>
      </w:pPr>
      <w:r>
        <w:rPr>
          <w:rFonts w:ascii="Arial" w:cs="Arial" w:eastAsia="Arial" w:hAnsi="Arial"/>
          <w:sz w:val="21"/>
          <w:szCs w:val="21"/>
        </w:rPr>
        <w:t xml:space="preserve">L'engagement se construit dès les premiers jours. Selon une étude SHRM, 69% des salariés qui bénéficient d'un bon onboarding restent dans l'entreprise au moins trois ans. Un programme d'intégration réussi comprend : un accueil structuré, une présentation de la culture et des valeurs de l'entreprise, un parrainage par un collègue, et un suivi régulier lors des premières semaines.</w:t>
      </w:r>
    </w:p>
    <w:p>
      <w:pPr>
        <w:pStyle w:val="Heading2"/>
      </w:pPr>
      <w:r>
        <w:rPr>
          <w:rFonts w:ascii="Arial" w:cs="Arial" w:eastAsia="Arial" w:hAnsi="Arial"/>
          <w:b/>
          <w:bCs/>
          <w:sz w:val="25"/>
          <w:szCs w:val="25"/>
        </w:rPr>
        <w:t xml:space="preserve">2. Le management participatif</w:t>
      </w:r>
    </w:p>
    <w:p>
      <w:pPr>
        <w:spacing w:after="140"/>
      </w:pPr>
      <w:r>
        <w:rPr>
          <w:rFonts w:ascii="Arial" w:cs="Arial" w:eastAsia="Arial" w:hAnsi="Arial"/>
          <w:sz w:val="21"/>
          <w:szCs w:val="21"/>
        </w:rPr>
        <w:t xml:space="preserve">Le management participatif est un style de management qui repose sur la co-construction, la confiance et l'autonomie. Il s'inscrit dans la continuité des travaux de McGregor (Théorie Y, 1960) qui postulait que les individus aiment naturellement travailler et cherchent à se développer — à condition qu'on leur en donne l'opportunité.</w:t>
      </w:r>
    </w:p>
    <w:p>
      <w:pPr>
        <w:spacing w:after="140"/>
      </w:pPr>
      <w:r>
        <w:rPr>
          <w:rFonts w:ascii="Arial" w:cs="Arial" w:eastAsia="Arial" w:hAnsi="Arial"/>
          <w:sz w:val="21"/>
          <w:szCs w:val="21"/>
        </w:rPr>
        <w:t xml:space="preserve">Ses piliers sont :</w:t>
      </w:r>
    </w:p>
    <w:p>
      <w:pPr>
        <w:pStyle w:val="ListParagraph"/>
        <w:numPr>
          <w:ilvl w:val="0"/>
          <w:numId w:val="2"/>
        </w:numPr>
        <w:spacing w:after="80"/>
      </w:pPr>
      <w:r>
        <w:rPr>
          <w:rFonts w:ascii="Arial" w:cs="Arial" w:eastAsia="Arial" w:hAnsi="Arial"/>
          <w:sz w:val="21"/>
          <w:szCs w:val="21"/>
        </w:rPr>
        <w:t xml:space="preserve">La co-construction des objectifs : les collaborateurs participent à la définition de leurs propres objectifs, ce qui augmente leur sentiment d'appropriation et leur engagement</w:t>
      </w:r>
    </w:p>
    <w:p>
      <w:pPr>
        <w:pStyle w:val="ListParagraph"/>
        <w:numPr>
          <w:ilvl w:val="0"/>
          <w:numId w:val="2"/>
        </w:numPr>
        <w:spacing w:after="80"/>
      </w:pPr>
      <w:r>
        <w:rPr>
          <w:rFonts w:ascii="Arial" w:cs="Arial" w:eastAsia="Arial" w:hAnsi="Arial"/>
          <w:sz w:val="21"/>
          <w:szCs w:val="21"/>
        </w:rPr>
        <w:t xml:space="preserve">La délégation réelle : confier des responsabilités avec une vraie marge de manœuvre sur les méthodes — pas juste sur les tâches</w:t>
      </w:r>
    </w:p>
    <w:p>
      <w:pPr>
        <w:pStyle w:val="ListParagraph"/>
        <w:numPr>
          <w:ilvl w:val="0"/>
          <w:numId w:val="2"/>
        </w:numPr>
        <w:spacing w:after="80"/>
      </w:pPr>
      <w:r>
        <w:rPr>
          <w:rFonts w:ascii="Arial" w:cs="Arial" w:eastAsia="Arial" w:hAnsi="Arial"/>
          <w:sz w:val="21"/>
          <w:szCs w:val="21"/>
        </w:rPr>
        <w:t xml:space="preserve">Le feedback régulier dans les deux sens : le manager donne du feedback constructif ET sollicite le feedback de ses équipes sur son propre management</w:t>
      </w:r>
    </w:p>
    <w:p>
      <w:pPr>
        <w:pStyle w:val="ListParagraph"/>
        <w:numPr>
          <w:ilvl w:val="0"/>
          <w:numId w:val="2"/>
        </w:numPr>
        <w:spacing w:after="80"/>
      </w:pPr>
      <w:r>
        <w:rPr>
          <w:rFonts w:ascii="Arial" w:cs="Arial" w:eastAsia="Arial" w:hAnsi="Arial"/>
          <w:sz w:val="21"/>
          <w:szCs w:val="21"/>
        </w:rPr>
        <w:t xml:space="preserve">Les rituels d'équipe : réunions régulières où chacun peut s'exprimer, partager des difficultés, proposer des améliorations</w:t>
      </w:r>
    </w:p>
    <w:p>
      <w:pPr>
        <w:pStyle w:val="ListParagraph"/>
        <w:numPr>
          <w:ilvl w:val="0"/>
          <w:numId w:val="2"/>
        </w:numPr>
        <w:spacing w:after="80"/>
      </w:pPr>
      <w:r>
        <w:rPr>
          <w:rFonts w:ascii="Arial" w:cs="Arial" w:eastAsia="Arial" w:hAnsi="Arial"/>
          <w:sz w:val="21"/>
          <w:szCs w:val="21"/>
        </w:rPr>
        <w:t xml:space="preserve">La culture de l'erreur apprenante : un environnement où l'erreur est analysée et apprise, pas sanctionnée</w:t>
      </w:r>
    </w:p>
    <w:p>
      <w:pPr>
        <w:pBdr>
          <w:left w:val="single" w:color="0F6E56" w:sz="12" w:space="8"/>
        </w:pBdr>
        <w:spacing w:after="140" w:before="100"/>
        <w:ind w:left="360"/>
      </w:pPr>
      <w:r>
        <w:rPr>
          <w:rFonts w:ascii="Arial" w:cs="Arial" w:eastAsia="Arial" w:hAnsi="Arial"/>
          <w:i/>
          <w:iCs/>
          <w:color w:val="444441"/>
          <w:sz w:val="20"/>
          <w:szCs w:val="20"/>
        </w:rPr>
        <w:t xml:space="preserve">« La fonction du manager n'est pas de motiver ses équipes — c'est de créer les conditions dans lesquelles elles peuvent se motiver elles-mêmes. » — Adapté de Frederick Herzberg</w:t>
      </w:r>
    </w:p>
    <w:p>
      <w:pPr>
        <w:spacing w:after="140"/>
      </w:pPr>
      <w:r>
        <w:rPr>
          <w:rFonts w:ascii="Arial" w:cs="Arial" w:eastAsia="Arial" w:hAnsi="Arial"/>
          <w:sz w:val="21"/>
          <w:szCs w:val="21"/>
        </w:rPr>
        <w:t xml:space="preserve">Des entreprises comme Michelin (avec son modèle de management responsabilisant — MR), Décathlon (autonomie des équipes magasins) ou W.L. Gore (organisation sans management hiérarchique traditionnel) ont fait du management participatif un axe stratégique avec des résultats mesurables sur la rétention et l'engagement.</w:t>
      </w:r>
    </w:p>
    <w:p>
      <w:r>
        <w:br w:type="page"/>
      </w:r>
    </w:p>
    <w:p>
      <w:pPr>
        <w:pStyle w:val="Heading1"/>
      </w:pPr>
      <w:r>
        <w:rPr>
          <w:rFonts w:ascii="Arial" w:cs="Arial" w:eastAsia="Arial" w:hAnsi="Arial"/>
          <w:b/>
          <w:bCs/>
          <w:sz w:val="32"/>
          <w:szCs w:val="32"/>
        </w:rPr>
        <w:t xml:space="preserve">Module 6 — Construire un plan QVT</w:t>
      </w:r>
    </w:p>
    <w:p>
      <w:pPr>
        <w:pStyle w:val="Heading2"/>
      </w:pPr>
      <w:r>
        <w:rPr>
          <w:rFonts w:ascii="Arial" w:cs="Arial" w:eastAsia="Arial" w:hAnsi="Arial"/>
          <w:b/>
          <w:bCs/>
          <w:sz w:val="25"/>
          <w:szCs w:val="25"/>
        </w:rPr>
        <w:t xml:space="preserve">1. Les cinq étapes du plan QVT</w:t>
      </w:r>
    </w:p>
    <w:p>
      <w:pPr>
        <w:pStyle w:val="Heading3"/>
      </w:pPr>
      <w:r>
        <w:rPr>
          <w:rFonts w:ascii="Arial" w:cs="Arial" w:eastAsia="Arial" w:hAnsi="Arial"/>
          <w:b/>
          <w:bCs/>
          <w:color w:val="854F0B"/>
          <w:sz w:val="22"/>
          <w:szCs w:val="22"/>
        </w:rPr>
        <w:t xml:space="preserve">Étape 1 — Le diagnostic</w:t>
      </w:r>
    </w:p>
    <w:p>
      <w:pPr>
        <w:spacing w:after="140"/>
      </w:pPr>
      <w:r>
        <w:rPr>
          <w:rFonts w:ascii="Arial" w:cs="Arial" w:eastAsia="Arial" w:hAnsi="Arial"/>
          <w:sz w:val="21"/>
          <w:szCs w:val="21"/>
        </w:rPr>
        <w:t xml:space="preserve">Le diagnostic est la fondation du plan QVT. Il s'agit de mesurer l'état actuel de la QVT dans l'organisation avant d'agir. Les outils du diagnostic sont :</w:t>
      </w:r>
    </w:p>
    <w:p>
      <w:pPr>
        <w:pStyle w:val="ListParagraph"/>
        <w:numPr>
          <w:ilvl w:val="0"/>
          <w:numId w:val="2"/>
        </w:numPr>
        <w:spacing w:after="80"/>
      </w:pPr>
      <w:r>
        <w:rPr>
          <w:rFonts w:ascii="Arial" w:cs="Arial" w:eastAsia="Arial" w:hAnsi="Arial"/>
          <w:sz w:val="21"/>
          <w:szCs w:val="21"/>
        </w:rPr>
        <w:t xml:space="preserve">Le baromètre social ou l'enquête de satisfaction (annuelle ou semestrielle)</w:t>
      </w:r>
    </w:p>
    <w:p>
      <w:pPr>
        <w:pStyle w:val="ListParagraph"/>
        <w:numPr>
          <w:ilvl w:val="0"/>
          <w:numId w:val="2"/>
        </w:numPr>
        <w:spacing w:after="80"/>
      </w:pPr>
      <w:r>
        <w:rPr>
          <w:rFonts w:ascii="Arial" w:cs="Arial" w:eastAsia="Arial" w:hAnsi="Arial"/>
          <w:sz w:val="21"/>
          <w:szCs w:val="21"/>
        </w:rPr>
        <w:t xml:space="preserve">L'analyse des indicateurs RH : absentéisme, turnover, accidents du travail, résultats des entretiens</w:t>
      </w:r>
    </w:p>
    <w:p>
      <w:pPr>
        <w:pStyle w:val="ListParagraph"/>
        <w:numPr>
          <w:ilvl w:val="0"/>
          <w:numId w:val="2"/>
        </w:numPr>
        <w:spacing w:after="80"/>
      </w:pPr>
      <w:r>
        <w:rPr>
          <w:rFonts w:ascii="Arial" w:cs="Arial" w:eastAsia="Arial" w:hAnsi="Arial"/>
          <w:sz w:val="21"/>
          <w:szCs w:val="21"/>
        </w:rPr>
        <w:t xml:space="preserve">Les remontées du CSE et de la médecine du travail</w:t>
      </w:r>
    </w:p>
    <w:p>
      <w:pPr>
        <w:pStyle w:val="ListParagraph"/>
        <w:numPr>
          <w:ilvl w:val="0"/>
          <w:numId w:val="2"/>
        </w:numPr>
        <w:spacing w:after="80"/>
      </w:pPr>
      <w:r>
        <w:rPr>
          <w:rFonts w:ascii="Arial" w:cs="Arial" w:eastAsia="Arial" w:hAnsi="Arial"/>
          <w:sz w:val="21"/>
          <w:szCs w:val="21"/>
        </w:rPr>
        <w:t xml:space="preserve">Les entretiens qualitatifs avec des salariés volontaires ou des focus groups</w:t>
      </w:r>
    </w:p>
    <w:p>
      <w:pPr>
        <w:spacing w:after="140"/>
      </w:pPr>
      <w:r>
        <w:rPr>
          <w:rFonts w:ascii="Arial" w:cs="Arial" w:eastAsia="Arial" w:hAnsi="Arial"/>
          <w:sz w:val="21"/>
          <w:szCs w:val="21"/>
        </w:rPr>
        <w:t xml:space="preserve">L'objectif est d'identifier les zones de risque et les domaines d'amélioration prioritaires parmi les six dimensions QVT de l'ANACT.</w:t>
      </w:r>
    </w:p>
    <w:p>
      <w:pPr>
        <w:pStyle w:val="Heading3"/>
      </w:pPr>
      <w:r>
        <w:rPr>
          <w:rFonts w:ascii="Arial" w:cs="Arial" w:eastAsia="Arial" w:hAnsi="Arial"/>
          <w:b/>
          <w:bCs/>
          <w:color w:val="854F0B"/>
          <w:sz w:val="22"/>
          <w:szCs w:val="22"/>
        </w:rPr>
        <w:t xml:space="preserve">Étape 2 — La définition des priorités</w:t>
      </w:r>
    </w:p>
    <w:p>
      <w:pPr>
        <w:spacing w:after="140"/>
      </w:pPr>
      <w:r>
        <w:rPr>
          <w:rFonts w:ascii="Arial" w:cs="Arial" w:eastAsia="Arial" w:hAnsi="Arial"/>
          <w:sz w:val="21"/>
          <w:szCs w:val="21"/>
        </w:rPr>
        <w:t xml:space="preserve">Sur la base du diagnostic, la direction, les RH et le CSE définissent ensemble 2 à 3 axes prioritaires d'amélioration. La matrice impact / effort est un outil utile pour prioriser : elle permet d'identifier les actions à fort impact et faible effort (à déployer en priorité) des actions structurelles plus lourdes à mettre en place.</w:t>
      </w:r>
    </w:p>
    <w:p>
      <w:pPr>
        <w:pStyle w:val="Heading3"/>
      </w:pPr>
      <w:r>
        <w:rPr>
          <w:rFonts w:ascii="Arial" w:cs="Arial" w:eastAsia="Arial" w:hAnsi="Arial"/>
          <w:b/>
          <w:bCs/>
          <w:color w:val="854F0B"/>
          <w:sz w:val="22"/>
          <w:szCs w:val="22"/>
        </w:rPr>
        <w:t xml:space="preserve">Étape 3 — La construction du plan d'action</w:t>
      </w:r>
    </w:p>
    <w:p>
      <w:pPr>
        <w:spacing w:after="140"/>
      </w:pPr>
      <w:r>
        <w:rPr>
          <w:rFonts w:ascii="Arial" w:cs="Arial" w:eastAsia="Arial" w:hAnsi="Arial"/>
          <w:sz w:val="21"/>
          <w:szCs w:val="21"/>
        </w:rPr>
        <w:t xml:space="preserve">Pour chaque axe prioritaire, on définit des actions concrètes selon le format suivant :</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2200"/>
        <w:gridCol w:w="2000"/>
        <w:gridCol w:w="1800"/>
        <w:gridCol w:w="1900"/>
        <w:gridCol w:w="1800"/>
      </w:tblGrid>
      <w:tr>
        <w:tc>
          <w:tcPr>
            <w:tcW w:type="dxa" w:w="2200"/>
            <w:tcBorders>
              <w:top w:val="single" w:color="D9D7CE" w:sz="2"/>
              <w:left w:val="single" w:color="D9D7CE" w:sz="2"/>
              <w:bottom w:val="single" w:color="D9D7CE" w:sz="2"/>
              <w:right w:val="single" w:color="D9D7CE" w:sz="2"/>
            </w:tcBorders>
            <w:shd w:fill="E1F5EE" w:val="clear"/>
            <w:tcMar>
              <w:top w:type="dxa" w:w="80"/>
              <w:left w:type="dxa" w:w="100"/>
              <w:bottom w:type="dxa" w:w="80"/>
              <w:right w:type="dxa" w:w="100"/>
            </w:tcMar>
          </w:tcPr>
          <w:p>
            <w:r>
              <w:rPr>
                <w:rFonts w:ascii="Arial" w:cs="Arial" w:eastAsia="Arial" w:hAnsi="Arial"/>
                <w:b/>
                <w:bCs/>
                <w:color w:val="0F6E56"/>
                <w:sz w:val="17"/>
                <w:szCs w:val="17"/>
              </w:rPr>
              <w:t xml:space="preserve">Action</w:t>
            </w:r>
          </w:p>
        </w:tc>
        <w:tc>
          <w:tcPr>
            <w:tcW w:type="dxa" w:w="2000"/>
            <w:tcBorders>
              <w:top w:val="single" w:color="D9D7CE" w:sz="2"/>
              <w:left w:val="single" w:color="D9D7CE" w:sz="2"/>
              <w:bottom w:val="single" w:color="D9D7CE" w:sz="2"/>
              <w:right w:val="single" w:color="D9D7CE" w:sz="2"/>
            </w:tcBorders>
            <w:shd w:fill="E1F5EE" w:val="clear"/>
            <w:tcMar>
              <w:top w:type="dxa" w:w="80"/>
              <w:left w:type="dxa" w:w="100"/>
              <w:bottom w:type="dxa" w:w="80"/>
              <w:right w:type="dxa" w:w="100"/>
            </w:tcMar>
          </w:tcPr>
          <w:p>
            <w:r>
              <w:rPr>
                <w:rFonts w:ascii="Arial" w:cs="Arial" w:eastAsia="Arial" w:hAnsi="Arial"/>
                <w:b/>
                <w:bCs/>
                <w:color w:val="0F6E56"/>
                <w:sz w:val="17"/>
                <w:szCs w:val="17"/>
              </w:rPr>
              <w:t xml:space="preserve">Responsable</w:t>
            </w:r>
          </w:p>
        </w:tc>
        <w:tc>
          <w:tcPr>
            <w:tcW w:type="dxa" w:w="1800"/>
            <w:tcBorders>
              <w:top w:val="single" w:color="D9D7CE" w:sz="2"/>
              <w:left w:val="single" w:color="D9D7CE" w:sz="2"/>
              <w:bottom w:val="single" w:color="D9D7CE" w:sz="2"/>
              <w:right w:val="single" w:color="D9D7CE" w:sz="2"/>
            </w:tcBorders>
            <w:shd w:fill="E1F5EE" w:val="clear"/>
            <w:tcMar>
              <w:top w:type="dxa" w:w="80"/>
              <w:left w:type="dxa" w:w="100"/>
              <w:bottom w:type="dxa" w:w="80"/>
              <w:right w:type="dxa" w:w="100"/>
            </w:tcMar>
          </w:tcPr>
          <w:p>
            <w:r>
              <w:rPr>
                <w:rFonts w:ascii="Arial" w:cs="Arial" w:eastAsia="Arial" w:hAnsi="Arial"/>
                <w:b/>
                <w:bCs/>
                <w:color w:val="0F6E56"/>
                <w:sz w:val="17"/>
                <w:szCs w:val="17"/>
              </w:rPr>
              <w:t xml:space="preserve">Délai</w:t>
            </w:r>
          </w:p>
        </w:tc>
        <w:tc>
          <w:tcPr>
            <w:tcW w:type="dxa" w:w="1900"/>
            <w:tcBorders>
              <w:top w:val="single" w:color="D9D7CE" w:sz="2"/>
              <w:left w:val="single" w:color="D9D7CE" w:sz="2"/>
              <w:bottom w:val="single" w:color="D9D7CE" w:sz="2"/>
              <w:right w:val="single" w:color="D9D7CE" w:sz="2"/>
            </w:tcBorders>
            <w:shd w:fill="E1F5EE" w:val="clear"/>
            <w:tcMar>
              <w:top w:type="dxa" w:w="80"/>
              <w:left w:type="dxa" w:w="100"/>
              <w:bottom w:type="dxa" w:w="80"/>
              <w:right w:type="dxa" w:w="100"/>
            </w:tcMar>
          </w:tcPr>
          <w:p>
            <w:r>
              <w:rPr>
                <w:rFonts w:ascii="Arial" w:cs="Arial" w:eastAsia="Arial" w:hAnsi="Arial"/>
                <w:b/>
                <w:bCs/>
                <w:color w:val="0F6E56"/>
                <w:sz w:val="17"/>
                <w:szCs w:val="17"/>
              </w:rPr>
              <w:t xml:space="preserve">Indicateur</w:t>
            </w:r>
          </w:p>
        </w:tc>
        <w:tc>
          <w:tcPr>
            <w:tcW w:type="dxa" w:w="1800"/>
            <w:tcBorders>
              <w:top w:val="single" w:color="D9D7CE" w:sz="2"/>
              <w:left w:val="single" w:color="D9D7CE" w:sz="2"/>
              <w:bottom w:val="single" w:color="D9D7CE" w:sz="2"/>
              <w:right w:val="single" w:color="D9D7CE" w:sz="2"/>
            </w:tcBorders>
            <w:shd w:fill="E1F5EE" w:val="clear"/>
            <w:tcMar>
              <w:top w:type="dxa" w:w="80"/>
              <w:left w:type="dxa" w:w="100"/>
              <w:bottom w:type="dxa" w:w="80"/>
              <w:right w:type="dxa" w:w="100"/>
            </w:tcMar>
          </w:tcPr>
          <w:p>
            <w:r>
              <w:rPr>
                <w:rFonts w:ascii="Arial" w:cs="Arial" w:eastAsia="Arial" w:hAnsi="Arial"/>
                <w:b/>
                <w:bCs/>
                <w:color w:val="0F6E56"/>
                <w:sz w:val="17"/>
                <w:szCs w:val="17"/>
              </w:rPr>
              <w:t xml:space="preserve">Ressources</w:t>
            </w:r>
          </w:p>
        </w:tc>
      </w:tr>
      <w:tr>
        <w:tc>
          <w:tcPr>
            <w:tcW w:type="dxa" w:w="2200"/>
            <w:tcBorders>
              <w:top w:val="single" w:color="D9D7CE" w:sz="2"/>
              <w:left w:val="single" w:color="D9D7CE" w:sz="2"/>
              <w:bottom w:val="single" w:color="D9D7CE" w:sz="2"/>
              <w:right w:val="single" w:color="D9D7CE" w:sz="2"/>
            </w:tcBorders>
            <w:tcMar>
              <w:top w:type="dxa" w:w="80"/>
              <w:left w:type="dxa" w:w="100"/>
              <w:bottom w:type="dxa" w:w="80"/>
              <w:right w:type="dxa" w:w="100"/>
            </w:tcMar>
          </w:tcPr>
          <w:p>
            <w:r>
              <w:rPr>
                <w:rFonts w:ascii="Arial" w:cs="Arial" w:eastAsia="Arial" w:hAnsi="Arial"/>
                <w:sz w:val="16"/>
                <w:szCs w:val="16"/>
              </w:rPr>
              <w:t xml:space="preserve">Déployer des formations management bienveillant</w:t>
            </w:r>
          </w:p>
        </w:tc>
        <w:tc>
          <w:tcPr>
            <w:tcW w:type="dxa" w:w="2000"/>
            <w:tcBorders>
              <w:top w:val="single" w:color="D9D7CE" w:sz="2"/>
              <w:left w:val="single" w:color="D9D7CE" w:sz="2"/>
              <w:bottom w:val="single" w:color="D9D7CE" w:sz="2"/>
              <w:right w:val="single" w:color="D9D7CE" w:sz="2"/>
            </w:tcBorders>
            <w:tcMar>
              <w:top w:type="dxa" w:w="80"/>
              <w:left w:type="dxa" w:w="100"/>
              <w:bottom w:type="dxa" w:w="80"/>
              <w:right w:type="dxa" w:w="100"/>
            </w:tcMar>
          </w:tcPr>
          <w:p>
            <w:r>
              <w:rPr>
                <w:rFonts w:ascii="Arial" w:cs="Arial" w:eastAsia="Arial" w:hAnsi="Arial"/>
                <w:sz w:val="16"/>
                <w:szCs w:val="16"/>
              </w:rPr>
              <w:t xml:space="preserve">DRH + DAFP</w:t>
            </w:r>
          </w:p>
        </w:tc>
        <w:tc>
          <w:tcPr>
            <w:tcW w:type="dxa" w:w="1800"/>
            <w:tcBorders>
              <w:top w:val="single" w:color="D9D7CE" w:sz="2"/>
              <w:left w:val="single" w:color="D9D7CE" w:sz="2"/>
              <w:bottom w:val="single" w:color="D9D7CE" w:sz="2"/>
              <w:right w:val="single" w:color="D9D7CE" w:sz="2"/>
            </w:tcBorders>
            <w:tcMar>
              <w:top w:type="dxa" w:w="80"/>
              <w:left w:type="dxa" w:w="100"/>
              <w:bottom w:type="dxa" w:w="80"/>
              <w:right w:type="dxa" w:w="100"/>
            </w:tcMar>
          </w:tcPr>
          <w:p>
            <w:r>
              <w:rPr>
                <w:rFonts w:ascii="Arial" w:cs="Arial" w:eastAsia="Arial" w:hAnsi="Arial"/>
                <w:sz w:val="16"/>
                <w:szCs w:val="16"/>
              </w:rPr>
              <w:t xml:space="preserve">T2 2025</w:t>
            </w:r>
          </w:p>
        </w:tc>
        <w:tc>
          <w:tcPr>
            <w:tcW w:type="dxa" w:w="1900"/>
            <w:tcBorders>
              <w:top w:val="single" w:color="D9D7CE" w:sz="2"/>
              <w:left w:val="single" w:color="D9D7CE" w:sz="2"/>
              <w:bottom w:val="single" w:color="D9D7CE" w:sz="2"/>
              <w:right w:val="single" w:color="D9D7CE" w:sz="2"/>
            </w:tcBorders>
            <w:tcMar>
              <w:top w:type="dxa" w:w="80"/>
              <w:left w:type="dxa" w:w="100"/>
              <w:bottom w:type="dxa" w:w="80"/>
              <w:right w:type="dxa" w:w="100"/>
            </w:tcMar>
          </w:tcPr>
          <w:p>
            <w:r>
              <w:rPr>
                <w:rFonts w:ascii="Arial" w:cs="Arial" w:eastAsia="Arial" w:hAnsi="Arial"/>
                <w:sz w:val="16"/>
                <w:szCs w:val="16"/>
              </w:rPr>
              <w:t xml:space="preserve">% managers formés</w:t>
            </w:r>
          </w:p>
        </w:tc>
        <w:tc>
          <w:tcPr>
            <w:tcW w:type="dxa" w:w="1800"/>
            <w:tcBorders>
              <w:top w:val="single" w:color="D9D7CE" w:sz="2"/>
              <w:left w:val="single" w:color="D9D7CE" w:sz="2"/>
              <w:bottom w:val="single" w:color="D9D7CE" w:sz="2"/>
              <w:right w:val="single" w:color="D9D7CE" w:sz="2"/>
            </w:tcBorders>
            <w:tcMar>
              <w:top w:type="dxa" w:w="80"/>
              <w:left w:type="dxa" w:w="100"/>
              <w:bottom w:type="dxa" w:w="80"/>
              <w:right w:type="dxa" w:w="100"/>
            </w:tcMar>
          </w:tcPr>
          <w:p>
            <w:r>
              <w:rPr>
                <w:rFonts w:ascii="Arial" w:cs="Arial" w:eastAsia="Arial" w:hAnsi="Arial"/>
                <w:sz w:val="16"/>
                <w:szCs w:val="16"/>
              </w:rPr>
              <w:t xml:space="preserve">Budget formation</w:t>
            </w:r>
          </w:p>
        </w:tc>
      </w:tr>
      <w:tr>
        <w:tc>
          <w:tcPr>
            <w:tcW w:type="dxa" w:w="2200"/>
            <w:tcBorders>
              <w:top w:val="single" w:color="D9D7CE" w:sz="2"/>
              <w:left w:val="single" w:color="D9D7CE" w:sz="2"/>
              <w:bottom w:val="single" w:color="D9D7CE" w:sz="2"/>
              <w:right w:val="single" w:color="D9D7CE" w:sz="2"/>
            </w:tcBorders>
            <w:tcMar>
              <w:top w:type="dxa" w:w="80"/>
              <w:left w:type="dxa" w:w="100"/>
              <w:bottom w:type="dxa" w:w="80"/>
              <w:right w:type="dxa" w:w="100"/>
            </w:tcMar>
          </w:tcPr>
          <w:p>
            <w:r>
              <w:rPr>
                <w:rFonts w:ascii="Arial" w:cs="Arial" w:eastAsia="Arial" w:hAnsi="Arial"/>
                <w:sz w:val="16"/>
                <w:szCs w:val="16"/>
              </w:rPr>
              <w:t xml:space="preserve">Lancer un baromètre social</w:t>
            </w:r>
          </w:p>
        </w:tc>
        <w:tc>
          <w:tcPr>
            <w:tcW w:type="dxa" w:w="2000"/>
            <w:tcBorders>
              <w:top w:val="single" w:color="D9D7CE" w:sz="2"/>
              <w:left w:val="single" w:color="D9D7CE" w:sz="2"/>
              <w:bottom w:val="single" w:color="D9D7CE" w:sz="2"/>
              <w:right w:val="single" w:color="D9D7CE" w:sz="2"/>
            </w:tcBorders>
            <w:tcMar>
              <w:top w:type="dxa" w:w="80"/>
              <w:left w:type="dxa" w:w="100"/>
              <w:bottom w:type="dxa" w:w="80"/>
              <w:right w:type="dxa" w:w="100"/>
            </w:tcMar>
          </w:tcPr>
          <w:p>
            <w:r>
              <w:rPr>
                <w:rFonts w:ascii="Arial" w:cs="Arial" w:eastAsia="Arial" w:hAnsi="Arial"/>
                <w:sz w:val="16"/>
                <w:szCs w:val="16"/>
              </w:rPr>
              <w:t xml:space="preserve">RH</w:t>
            </w:r>
          </w:p>
        </w:tc>
        <w:tc>
          <w:tcPr>
            <w:tcW w:type="dxa" w:w="1800"/>
            <w:tcBorders>
              <w:top w:val="single" w:color="D9D7CE" w:sz="2"/>
              <w:left w:val="single" w:color="D9D7CE" w:sz="2"/>
              <w:bottom w:val="single" w:color="D9D7CE" w:sz="2"/>
              <w:right w:val="single" w:color="D9D7CE" w:sz="2"/>
            </w:tcBorders>
            <w:tcMar>
              <w:top w:type="dxa" w:w="80"/>
              <w:left w:type="dxa" w:w="100"/>
              <w:bottom w:type="dxa" w:w="80"/>
              <w:right w:type="dxa" w:w="100"/>
            </w:tcMar>
          </w:tcPr>
          <w:p>
            <w:r>
              <w:rPr>
                <w:rFonts w:ascii="Arial" w:cs="Arial" w:eastAsia="Arial" w:hAnsi="Arial"/>
                <w:sz w:val="16"/>
                <w:szCs w:val="16"/>
              </w:rPr>
              <w:t xml:space="preserve">T1 2025</w:t>
            </w:r>
          </w:p>
        </w:tc>
        <w:tc>
          <w:tcPr>
            <w:tcW w:type="dxa" w:w="1900"/>
            <w:tcBorders>
              <w:top w:val="single" w:color="D9D7CE" w:sz="2"/>
              <w:left w:val="single" w:color="D9D7CE" w:sz="2"/>
              <w:bottom w:val="single" w:color="D9D7CE" w:sz="2"/>
              <w:right w:val="single" w:color="D9D7CE" w:sz="2"/>
            </w:tcBorders>
            <w:tcMar>
              <w:top w:type="dxa" w:w="80"/>
              <w:left w:type="dxa" w:w="100"/>
              <w:bottom w:type="dxa" w:w="80"/>
              <w:right w:type="dxa" w:w="100"/>
            </w:tcMar>
          </w:tcPr>
          <w:p>
            <w:r>
              <w:rPr>
                <w:rFonts w:ascii="Arial" w:cs="Arial" w:eastAsia="Arial" w:hAnsi="Arial"/>
                <w:sz w:val="16"/>
                <w:szCs w:val="16"/>
              </w:rPr>
              <w:t xml:space="preserve">Taux de participation</w:t>
            </w:r>
          </w:p>
        </w:tc>
        <w:tc>
          <w:tcPr>
            <w:tcW w:type="dxa" w:w="1800"/>
            <w:tcBorders>
              <w:top w:val="single" w:color="D9D7CE" w:sz="2"/>
              <w:left w:val="single" w:color="D9D7CE" w:sz="2"/>
              <w:bottom w:val="single" w:color="D9D7CE" w:sz="2"/>
              <w:right w:val="single" w:color="D9D7CE" w:sz="2"/>
            </w:tcBorders>
            <w:tcMar>
              <w:top w:type="dxa" w:w="80"/>
              <w:left w:type="dxa" w:w="100"/>
              <w:bottom w:type="dxa" w:w="80"/>
              <w:right w:type="dxa" w:w="100"/>
            </w:tcMar>
          </w:tcPr>
          <w:p>
            <w:r>
              <w:rPr>
                <w:rFonts w:ascii="Arial" w:cs="Arial" w:eastAsia="Arial" w:hAnsi="Arial"/>
                <w:sz w:val="16"/>
                <w:szCs w:val="16"/>
              </w:rPr>
              <w:t xml:space="preserve">Outil SurveyMonkey</w:t>
            </w:r>
          </w:p>
        </w:tc>
      </w:tr>
    </w:tbl>
    <w:p>
      <w:pPr>
        <w:pStyle w:val="Heading3"/>
      </w:pPr>
      <w:r>
        <w:rPr>
          <w:rFonts w:ascii="Arial" w:cs="Arial" w:eastAsia="Arial" w:hAnsi="Arial"/>
          <w:b/>
          <w:bCs/>
          <w:color w:val="854F0B"/>
          <w:sz w:val="22"/>
          <w:szCs w:val="22"/>
        </w:rPr>
        <w:t xml:space="preserve">Étape 4 — Le déploiement</w:t>
      </w:r>
    </w:p>
    <w:p>
      <w:pPr>
        <w:spacing w:after="140"/>
      </w:pPr>
      <w:r>
        <w:rPr>
          <w:rFonts w:ascii="Arial" w:cs="Arial" w:eastAsia="Arial" w:hAnsi="Arial"/>
          <w:sz w:val="21"/>
          <w:szCs w:val="21"/>
        </w:rPr>
        <w:t xml:space="preserve">La mise en œuvre du plan nécessite une communication claire et transparente : pourquoi ces actions, qui est concerné, quel calendrier. Les managers de proximité sont formés et impliqués — ils sont les relais indispensables de la démarche QVT au quotidien. Les salariés doivent être informés régulièrement de l'avancement des actions.</w:t>
      </w:r>
    </w:p>
    <w:p>
      <w:pPr>
        <w:pStyle w:val="Heading3"/>
      </w:pPr>
      <w:r>
        <w:rPr>
          <w:rFonts w:ascii="Arial" w:cs="Arial" w:eastAsia="Arial" w:hAnsi="Arial"/>
          <w:b/>
          <w:bCs/>
          <w:color w:val="854F0B"/>
          <w:sz w:val="22"/>
          <w:szCs w:val="22"/>
        </w:rPr>
        <w:t xml:space="preserve">Étape 5 — Le suivi et l'évaluation</w:t>
      </w:r>
    </w:p>
    <w:p>
      <w:pPr>
        <w:spacing w:after="140"/>
      </w:pPr>
      <w:r>
        <w:rPr>
          <w:rFonts w:ascii="Arial" w:cs="Arial" w:eastAsia="Arial" w:hAnsi="Arial"/>
          <w:sz w:val="21"/>
          <w:szCs w:val="21"/>
        </w:rPr>
        <w:t xml:space="preserve">L'évaluation repose sur deux types d'indicateurs complémentaires :</w:t>
      </w:r>
    </w:p>
    <w:p>
      <w:pPr>
        <w:pStyle w:val="ListParagraph"/>
        <w:numPr>
          <w:ilvl w:val="0"/>
          <w:numId w:val="2"/>
        </w:numPr>
        <w:spacing w:after="80"/>
      </w:pPr>
      <w:r>
        <w:rPr>
          <w:rFonts w:ascii="Arial" w:cs="Arial" w:eastAsia="Arial" w:hAnsi="Arial"/>
          <w:sz w:val="21"/>
          <w:szCs w:val="21"/>
        </w:rPr>
        <w:t xml:space="preserve">Indicateurs quantitatifs : taux d'absentéisme, taux de turnover, accidents du travail, score baromètre, taux de participation aux formations</w:t>
      </w:r>
    </w:p>
    <w:p>
      <w:pPr>
        <w:pStyle w:val="ListParagraph"/>
        <w:numPr>
          <w:ilvl w:val="0"/>
          <w:numId w:val="2"/>
        </w:numPr>
        <w:spacing w:after="80"/>
      </w:pPr>
      <w:r>
        <w:rPr>
          <w:rFonts w:ascii="Arial" w:cs="Arial" w:eastAsia="Arial" w:hAnsi="Arial"/>
          <w:sz w:val="21"/>
          <w:szCs w:val="21"/>
        </w:rPr>
        <w:t xml:space="preserve">Indicateurs qualitatifs : qualité du dialogue social, verbatims des entretiens, climat d'équipe observé par les managers</w:t>
      </w:r>
    </w:p>
    <w:p>
      <w:pPr>
        <w:spacing w:after="140"/>
      </w:pPr>
      <w:r>
        <w:rPr>
          <w:rFonts w:ascii="Arial" w:cs="Arial" w:eastAsia="Arial" w:hAnsi="Arial"/>
          <w:sz w:val="21"/>
          <w:szCs w:val="21"/>
        </w:rPr>
        <w:t xml:space="preserve">Le suivi est trimestriel : une réunion de pilotage réunissant direction, RH et CSE permet d'analyser les résultats et d'ajuster le plan si nécessaire. Un bon plan QVT est un plan vivant — pas un document figé.</w:t>
      </w:r>
    </w:p>
    <w:p>
      <w:pPr>
        <w:pStyle w:val="Heading2"/>
      </w:pPr>
      <w:r>
        <w:rPr>
          <w:rFonts w:ascii="Arial" w:cs="Arial" w:eastAsia="Arial" w:hAnsi="Arial"/>
          <w:b/>
          <w:bCs/>
          <w:sz w:val="25"/>
          <w:szCs w:val="25"/>
        </w:rPr>
        <w:t xml:space="preserve">2. Les outils clés</w:t>
      </w:r>
    </w:p>
    <w:p>
      <w:pPr>
        <w:pStyle w:val="ListParagraph"/>
        <w:numPr>
          <w:ilvl w:val="0"/>
          <w:numId w:val="2"/>
        </w:numPr>
        <w:spacing w:after="80"/>
      </w:pPr>
      <w:r>
        <w:rPr>
          <w:rFonts w:ascii="Arial" w:cs="Arial" w:eastAsia="Arial" w:hAnsi="Arial"/>
          <w:sz w:val="21"/>
          <w:szCs w:val="21"/>
        </w:rPr>
        <w:t xml:space="preserve">Baromètre social / enquête pulse : SurveyMonkey, Google Forms, Officevibe, Bloom at Work</w:t>
      </w:r>
    </w:p>
    <w:p>
      <w:pPr>
        <w:pStyle w:val="ListParagraph"/>
        <w:numPr>
          <w:ilvl w:val="0"/>
          <w:numId w:val="2"/>
        </w:numPr>
        <w:spacing w:after="80"/>
      </w:pPr>
      <w:r>
        <w:rPr>
          <w:rFonts w:ascii="Arial" w:cs="Arial" w:eastAsia="Arial" w:hAnsi="Arial"/>
          <w:sz w:val="21"/>
          <w:szCs w:val="21"/>
        </w:rPr>
        <w:t xml:space="preserve">Cartographie des risques RPS : grille INRS ou ANACT</w:t>
      </w:r>
    </w:p>
    <w:p>
      <w:pPr>
        <w:pStyle w:val="ListParagraph"/>
        <w:numPr>
          <w:ilvl w:val="0"/>
          <w:numId w:val="2"/>
        </w:numPr>
        <w:spacing w:after="80"/>
      </w:pPr>
      <w:r>
        <w:rPr>
          <w:rFonts w:ascii="Arial" w:cs="Arial" w:eastAsia="Arial" w:hAnsi="Arial"/>
          <w:sz w:val="21"/>
          <w:szCs w:val="21"/>
        </w:rPr>
        <w:t xml:space="preserve">Matrice de priorisation impact / effort</w:t>
      </w:r>
    </w:p>
    <w:p>
      <w:pPr>
        <w:pStyle w:val="ListParagraph"/>
        <w:numPr>
          <w:ilvl w:val="0"/>
          <w:numId w:val="2"/>
        </w:numPr>
        <w:spacing w:after="80"/>
      </w:pPr>
      <w:r>
        <w:rPr>
          <w:rFonts w:ascii="Arial" w:cs="Arial" w:eastAsia="Arial" w:hAnsi="Arial"/>
          <w:sz w:val="21"/>
          <w:szCs w:val="21"/>
        </w:rPr>
        <w:t xml:space="preserve">Plan d'action au format tableau (Excel ou équivalent)</w:t>
      </w:r>
    </w:p>
    <w:p>
      <w:pPr>
        <w:pStyle w:val="ListParagraph"/>
        <w:numPr>
          <w:ilvl w:val="0"/>
          <w:numId w:val="2"/>
        </w:numPr>
        <w:spacing w:after="80"/>
      </w:pPr>
      <w:r>
        <w:rPr>
          <w:rFonts w:ascii="Arial" w:cs="Arial" w:eastAsia="Arial" w:hAnsi="Arial"/>
          <w:sz w:val="21"/>
          <w:szCs w:val="21"/>
        </w:rPr>
        <w:t xml:space="preserve">Tableau de bord QVT avec indicateurs actualisés trimestriellement</w:t>
      </w:r>
    </w:p>
    <w:p>
      <w:pPr>
        <w:pStyle w:val="ListParagraph"/>
        <w:numPr>
          <w:ilvl w:val="0"/>
          <w:numId w:val="2"/>
        </w:numPr>
        <w:spacing w:after="80"/>
      </w:pPr>
      <w:r>
        <w:rPr>
          <w:rFonts w:ascii="Arial" w:cs="Arial" w:eastAsia="Arial" w:hAnsi="Arial"/>
          <w:sz w:val="21"/>
          <w:szCs w:val="21"/>
        </w:rPr>
        <w:t xml:space="preserve">Guide ANACT « Agir sur la QVT » (téléchargeable gratuitement sur anact.fr)</w:t>
      </w:r>
    </w:p>
    <w:p>
      <w:pPr>
        <w:pStyle w:val="Heading2"/>
      </w:pPr>
      <w:r>
        <w:rPr>
          <w:rFonts w:ascii="Arial" w:cs="Arial" w:eastAsia="Arial" w:hAnsi="Arial"/>
          <w:b/>
          <w:bCs/>
          <w:sz w:val="25"/>
          <w:szCs w:val="25"/>
        </w:rPr>
        <w:t xml:space="preserve">Synthèse de la semaine 3</w:t>
      </w:r>
    </w:p>
    <w:p>
      <w:pPr>
        <w:pStyle w:val="ListParagraph"/>
        <w:numPr>
          <w:ilvl w:val="0"/>
          <w:numId w:val="2"/>
        </w:numPr>
        <w:spacing w:after="80"/>
      </w:pPr>
      <w:r>
        <w:rPr>
          <w:rFonts w:ascii="Arial" w:cs="Arial" w:eastAsia="Arial" w:hAnsi="Arial"/>
          <w:sz w:val="21"/>
          <w:szCs w:val="21"/>
        </w:rPr>
        <w:t xml:space="preserve">Reconnaissance = 4 niveaux (personne, résultats, compétences, efforts) — le dernier est le plus oublié</w:t>
      </w:r>
    </w:p>
    <w:p>
      <w:pPr>
        <w:pStyle w:val="ListParagraph"/>
        <w:numPr>
          <w:ilvl w:val="0"/>
          <w:numId w:val="2"/>
        </w:numPr>
        <w:spacing w:after="80"/>
      </w:pPr>
      <w:r>
        <w:rPr>
          <w:rFonts w:ascii="Arial" w:cs="Arial" w:eastAsia="Arial" w:hAnsi="Arial"/>
          <w:sz w:val="21"/>
          <w:szCs w:val="21"/>
        </w:rPr>
        <w:t xml:space="preserve">Formation et mobilité interne = leviers d'engagement durable</w:t>
      </w:r>
    </w:p>
    <w:p>
      <w:pPr>
        <w:pStyle w:val="ListParagraph"/>
        <w:numPr>
          <w:ilvl w:val="0"/>
          <w:numId w:val="2"/>
        </w:numPr>
        <w:spacing w:after="80"/>
      </w:pPr>
      <w:r>
        <w:rPr>
          <w:rFonts w:ascii="Arial" w:cs="Arial" w:eastAsia="Arial" w:hAnsi="Arial"/>
          <w:sz w:val="21"/>
          <w:szCs w:val="21"/>
        </w:rPr>
        <w:t xml:space="preserve">Management participatif = co-construction, délégation, feedback, culture de l'erreur apprenante</w:t>
      </w:r>
    </w:p>
    <w:p>
      <w:pPr>
        <w:pStyle w:val="ListParagraph"/>
        <w:numPr>
          <w:ilvl w:val="0"/>
          <w:numId w:val="2"/>
        </w:numPr>
        <w:spacing w:after="80"/>
      </w:pPr>
      <w:r>
        <w:rPr>
          <w:rFonts w:ascii="Arial" w:cs="Arial" w:eastAsia="Arial" w:hAnsi="Arial"/>
          <w:sz w:val="21"/>
          <w:szCs w:val="21"/>
        </w:rPr>
        <w:t xml:space="preserve">Plan QVT = 5 étapes : diagnostiquer, prioriser, planifier, déployer, évaluer</w:t>
      </w:r>
    </w:p>
    <w:p>
      <w:pPr>
        <w:pStyle w:val="ListParagraph"/>
        <w:numPr>
          <w:ilvl w:val="0"/>
          <w:numId w:val="2"/>
        </w:numPr>
        <w:spacing w:after="80"/>
      </w:pPr>
      <w:r>
        <w:rPr>
          <w:rFonts w:ascii="Arial" w:cs="Arial" w:eastAsia="Arial" w:hAnsi="Arial"/>
          <w:sz w:val="21"/>
          <w:szCs w:val="21"/>
        </w:rPr>
        <w:t xml:space="preserve">Indicateurs quantitatifs + qualitatifs pour mesurer l'impact</w:t>
      </w:r>
    </w:p>
    <w:p>
      <w:pPr>
        <w:pStyle w:val="ListParagraph"/>
        <w:numPr>
          <w:ilvl w:val="0"/>
          <w:numId w:val="2"/>
        </w:numPr>
        <w:spacing w:after="80"/>
      </w:pPr>
      <w:r>
        <w:rPr>
          <w:rFonts w:ascii="Arial" w:cs="Arial" w:eastAsia="Arial" w:hAnsi="Arial"/>
          <w:sz w:val="21"/>
          <w:szCs w:val="21"/>
        </w:rPr>
        <w:t xml:space="preserve">Un plan QVT vivant s'adapte en continu — le suivi est indispensable</w:t>
      </w:r>
    </w:p>
    <w:p>
      <w:pPr>
        <w:pStyle w:val="Heading2"/>
      </w:pPr>
      <w:r>
        <w:rPr>
          <w:rFonts w:ascii="Arial" w:cs="Arial" w:eastAsia="Arial" w:hAnsi="Arial"/>
          <w:b/>
          <w:bCs/>
          <w:sz w:val="25"/>
          <w:szCs w:val="25"/>
        </w:rPr>
        <w:t xml:space="preserve">Bibliographie indicative</w:t>
      </w:r>
    </w:p>
    <w:p>
      <w:pPr>
        <w:pStyle w:val="ListParagraph"/>
        <w:numPr>
          <w:ilvl w:val="0"/>
          <w:numId w:val="2"/>
        </w:numPr>
        <w:spacing w:after="80"/>
      </w:pPr>
      <w:r>
        <w:rPr>
          <w:rFonts w:ascii="Arial" w:cs="Arial" w:eastAsia="Arial" w:hAnsi="Arial"/>
          <w:sz w:val="21"/>
          <w:szCs w:val="21"/>
        </w:rPr>
        <w:t xml:space="preserve">Brun, J.-P. &amp; Dugas, N. (2005). La reconnaissance au travail : analyse d'un concept riche de sens.</w:t>
      </w:r>
    </w:p>
    <w:p>
      <w:pPr>
        <w:pStyle w:val="ListParagraph"/>
        <w:numPr>
          <w:ilvl w:val="0"/>
          <w:numId w:val="2"/>
        </w:numPr>
        <w:spacing w:after="80"/>
      </w:pPr>
      <w:r>
        <w:rPr>
          <w:rFonts w:ascii="Arial" w:cs="Arial" w:eastAsia="Arial" w:hAnsi="Arial"/>
          <w:sz w:val="21"/>
          <w:szCs w:val="21"/>
        </w:rPr>
        <w:t xml:space="preserve">McGregor, D. (1960). The Human Side of Enterprise — Théorie X/Y.</w:t>
      </w:r>
    </w:p>
    <w:p>
      <w:pPr>
        <w:pStyle w:val="ListParagraph"/>
        <w:numPr>
          <w:ilvl w:val="0"/>
          <w:numId w:val="2"/>
        </w:numPr>
        <w:spacing w:after="80"/>
      </w:pPr>
      <w:r>
        <w:rPr>
          <w:rFonts w:ascii="Arial" w:cs="Arial" w:eastAsia="Arial" w:hAnsi="Arial"/>
          <w:sz w:val="21"/>
          <w:szCs w:val="21"/>
        </w:rPr>
        <w:t xml:space="preserve">ANACT (2022). Agir sur la QVT — Guide pratique (anact.fr)</w:t>
      </w:r>
    </w:p>
    <w:p>
      <w:pPr>
        <w:pStyle w:val="ListParagraph"/>
        <w:numPr>
          <w:ilvl w:val="0"/>
          <w:numId w:val="2"/>
        </w:numPr>
        <w:spacing w:after="80"/>
      </w:pPr>
      <w:r>
        <w:rPr>
          <w:rFonts w:ascii="Arial" w:cs="Arial" w:eastAsia="Arial" w:hAnsi="Arial"/>
          <w:sz w:val="21"/>
          <w:szCs w:val="21"/>
        </w:rPr>
        <w:t xml:space="preserve">INRS (2021). Démarche de prévention des RPS — Guide pour les entreprises.</w:t>
      </w:r>
    </w:p>
    <w:p>
      <w:pPr>
        <w:pStyle w:val="ListParagraph"/>
        <w:numPr>
          <w:ilvl w:val="0"/>
          <w:numId w:val="2"/>
        </w:numPr>
        <w:spacing w:after="80"/>
      </w:pPr>
      <w:r>
        <w:rPr>
          <w:rFonts w:ascii="Arial" w:cs="Arial" w:eastAsia="Arial" w:hAnsi="Arial"/>
          <w:sz w:val="21"/>
          <w:szCs w:val="21"/>
        </w:rPr>
        <w:t xml:space="preserve">SHRM Foundation (2017). Onboarding New Employees: Maximizing Success.</w:t>
      </w:r>
    </w:p>
    <w:p>
      <w:pPr>
        <w:pStyle w:val="ListParagraph"/>
        <w:numPr>
          <w:ilvl w:val="0"/>
          <w:numId w:val="2"/>
        </w:numPr>
        <w:spacing w:after="80"/>
      </w:pPr>
      <w:r>
        <w:rPr>
          <w:rFonts w:ascii="Arial" w:cs="Arial" w:eastAsia="Arial" w:hAnsi="Arial"/>
          <w:sz w:val="21"/>
          <w:szCs w:val="21"/>
        </w:rPr>
        <w:t xml:space="preserve">Gallup (2023). State of the Global Workplace Report.</w:t>
      </w:r>
    </w:p>
    <w:sectPr>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Arial" w:cs="Arial" w:eastAsia="Arial" w:hAnsi="Arial"/>
      <w:b/>
      <w:bCs/>
      <w:color w:val="0F6E56"/>
      <w:sz w:val="32"/>
      <w:szCs w:val="32"/>
    </w:rPr>
  </w:style>
  <w:style w:type="paragraph" w:styleId="Heading2">
    <w:name w:val="Heading 2"/>
    <w:basedOn w:val="Normal"/>
    <w:next w:val="Normal"/>
    <w:qFormat/>
    <w:pPr>
      <w:spacing w:after="140" w:before="260"/>
      <w:outlineLvl w:val="1"/>
    </w:pPr>
    <w:rPr>
      <w:rFonts w:ascii="Arial" w:cs="Arial" w:eastAsia="Arial" w:hAnsi="Arial"/>
      <w:b/>
      <w:bCs/>
      <w:color w:val="2C2C2A"/>
      <w:sz w:val="25"/>
      <w:szCs w:val="25"/>
    </w:rPr>
  </w:style>
  <w:style w:type="paragraph" w:styleId="Heading3">
    <w:name w:val="Heading 3"/>
    <w:basedOn w:val="Normal"/>
    <w:next w:val="Normal"/>
    <w:qFormat/>
    <w:pPr>
      <w:spacing w:after="100" w:before="200"/>
      <w:outlineLvl w:val="2"/>
    </w:pPr>
    <w:rPr>
      <w:rFonts w:ascii="Arial" w:cs="Arial" w:eastAsia="Arial" w:hAnsi="Arial"/>
      <w:b/>
      <w:bCs/>
      <w:color w:val="854F0B"/>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2026-06-25T09:04:04.332Z</dcterms:created>
  <dcterms:modified xsi:type="dcterms:W3CDTF">2026-06-25T09:04:04.333Z</dcterms:modified>
</cp:coreProperties>
</file>

<file path=docProps/custom.xml><?xml version="1.0" encoding="utf-8"?>
<Properties xmlns="http://schemas.openxmlformats.org/officeDocument/2006/custom-properties" xmlns:vt="http://schemas.openxmlformats.org/officeDocument/2006/docPropsVTypes"/>
</file>