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5F5E5A"/>
          <w:sz w:val="18"/>
          <w:szCs w:val="18"/>
        </w:rPr>
        <w:t xml:space="preserve">MOOC — Motivation et engagement des salariés : améliorer la QVT en entreprise</w:t>
      </w:r>
    </w:p>
    <w:p>
      <w:pPr>
        <w:spacing w:after="20"/>
      </w:pPr>
      <w:r>
        <w:rPr>
          <w:rFonts w:ascii="Arial" w:cs="Arial" w:eastAsia="Arial" w:hAnsi="Arial"/>
          <w:b/>
          <w:bCs/>
          <w:color w:val="0F6E56"/>
          <w:sz w:val="36"/>
          <w:szCs w:val="36"/>
        </w:rPr>
        <w:t xml:space="preserve">Semaine 2 — Analyser les enjeux</w:t>
      </w:r>
    </w:p>
    <w:p>
      <w:pPr>
        <w:spacing w:after="300"/>
      </w:pPr>
      <w:r>
        <w:rPr>
          <w:rFonts w:ascii="Arial" w:cs="Arial" w:eastAsia="Arial" w:hAnsi="Arial"/>
          <w:i/>
          <w:iCs/>
          <w:color w:val="5F5E5A"/>
          <w:sz w:val="20"/>
          <w:szCs w:val="20"/>
        </w:rPr>
        <w:t xml:space="preserve">Document détaillé — Cours complet</w:t>
      </w:r>
    </w:p>
    <w:p>
      <w:pPr>
        <w:pStyle w:val="Heading2"/>
      </w:pPr>
      <w:r>
        <w:rPr>
          <w:rFonts w:ascii="Arial" w:cs="Arial" w:eastAsia="Arial" w:hAnsi="Arial"/>
          <w:b/>
          <w:bCs/>
          <w:sz w:val="25"/>
          <w:szCs w:val="25"/>
        </w:rPr>
        <w:t xml:space="preserve">Objectifs pédagogiques</w:t>
      </w:r>
    </w:p>
    <w:p>
      <w:pPr>
        <w:pStyle w:val="ListParagraph"/>
        <w:numPr>
          <w:ilvl w:val="0"/>
          <w:numId w:val="2"/>
        </w:numPr>
        <w:spacing w:after="80"/>
      </w:pPr>
      <w:r>
        <w:rPr>
          <w:rFonts w:ascii="Arial" w:cs="Arial" w:eastAsia="Arial" w:hAnsi="Arial"/>
          <w:sz w:val="21"/>
          <w:szCs w:val="21"/>
        </w:rPr>
        <w:t xml:space="preserve">Comprendre l'impact de la motivation et de l'engagement sur la performance</w:t>
      </w:r>
    </w:p>
    <w:p>
      <w:pPr>
        <w:pStyle w:val="ListParagraph"/>
        <w:numPr>
          <w:ilvl w:val="0"/>
          <w:numId w:val="2"/>
        </w:numPr>
        <w:spacing w:after="80"/>
      </w:pPr>
      <w:r>
        <w:rPr>
          <w:rFonts w:ascii="Arial" w:cs="Arial" w:eastAsia="Arial" w:hAnsi="Arial"/>
          <w:sz w:val="21"/>
          <w:szCs w:val="21"/>
        </w:rPr>
        <w:t xml:space="preserve">Identifier les leviers de la QVT et les mécanismes de prévention des RPS</w:t>
      </w:r>
    </w:p>
    <w:p>
      <w:pPr>
        <w:pStyle w:val="Heading1"/>
      </w:pPr>
      <w:r>
        <w:rPr>
          <w:rFonts w:ascii="Arial" w:cs="Arial" w:eastAsia="Arial" w:hAnsi="Arial"/>
          <w:b/>
          <w:bCs/>
          <w:sz w:val="32"/>
          <w:szCs w:val="32"/>
        </w:rPr>
        <w:t xml:space="preserve">Module 3 — Motivation, engagement et performance</w:t>
      </w:r>
    </w:p>
    <w:p>
      <w:pPr>
        <w:pStyle w:val="Heading2"/>
      </w:pPr>
      <w:r>
        <w:rPr>
          <w:rFonts w:ascii="Arial" w:cs="Arial" w:eastAsia="Arial" w:hAnsi="Arial"/>
          <w:b/>
          <w:bCs/>
          <w:sz w:val="25"/>
          <w:szCs w:val="25"/>
        </w:rPr>
        <w:t xml:space="preserve">1. L'impact sur la productivité</w:t>
      </w:r>
    </w:p>
    <w:p>
      <w:pPr>
        <w:spacing w:after="140"/>
      </w:pPr>
      <w:r>
        <w:rPr>
          <w:rFonts w:ascii="Arial" w:cs="Arial" w:eastAsia="Arial" w:hAnsi="Arial"/>
          <w:sz w:val="21"/>
          <w:szCs w:val="21"/>
        </w:rPr>
        <w:t xml:space="preserve">La corrélation entre engagement et performance est aujourd'hui documentée par de nombreuses études. Le rapport annuel Gallup State of the Global Workplace constitue la référence la plus citée en la matière. En 2023, il établit que les équipes très engagées sont 23% plus productives que les équipes peu engagées, et que les entreprises présentant un fort taux d'engagement affichent une rentabilité 21% supérieure à la moyenne.</w:t>
      </w:r>
    </w:p>
    <w:p>
      <w:pPr>
        <w:spacing w:after="140"/>
      </w:pPr>
      <w:r>
        <w:rPr>
          <w:rFonts w:ascii="Arial" w:cs="Arial" w:eastAsia="Arial" w:hAnsi="Arial"/>
          <w:sz w:val="21"/>
          <w:szCs w:val="21"/>
        </w:rPr>
        <w:t xml:space="preserve">À l'inverse, le coût du désengagement est colossal : Gallup estime qu'il représente environ 8 500 milliards de dollars de pertes de productivité par an à l'échelle mondiale. En France, une étude Gallup de 2022 révèle que seulement 6% des salariés français se déclarent activement engagés — l'un des taux les plus faibles d'Europe.</w:t>
      </w:r>
    </w:p>
    <w:p>
      <w:pPr>
        <w:spacing w:after="140"/>
      </w:pPr>
      <w:r>
        <w:rPr>
          <w:rFonts w:ascii="Arial" w:cs="Arial" w:eastAsia="Arial" w:hAnsi="Arial"/>
          <w:sz w:val="21"/>
          <w:szCs w:val="21"/>
        </w:rPr>
        <w:t xml:space="preserve">On distingue deux niveaux de performance liés à l'engagement :</w:t>
      </w:r>
    </w:p>
    <w:p>
      <w:pPr>
        <w:pStyle w:val="ListParagraph"/>
        <w:numPr>
          <w:ilvl w:val="0"/>
          <w:numId w:val="2"/>
        </w:numPr>
        <w:spacing w:after="80"/>
      </w:pPr>
      <w:r>
        <w:rPr>
          <w:rFonts w:ascii="Arial" w:cs="Arial" w:eastAsia="Arial" w:hAnsi="Arial"/>
          <w:sz w:val="21"/>
          <w:szCs w:val="21"/>
        </w:rPr>
        <w:t xml:space="preserve">La performance individuelle : qualité du travail, respect des délais, soin apporté aux missions</w:t>
      </w:r>
    </w:p>
    <w:p>
      <w:pPr>
        <w:pStyle w:val="ListParagraph"/>
        <w:numPr>
          <w:ilvl w:val="0"/>
          <w:numId w:val="2"/>
        </w:numPr>
        <w:spacing w:after="80"/>
      </w:pPr>
      <w:r>
        <w:rPr>
          <w:rFonts w:ascii="Arial" w:cs="Arial" w:eastAsia="Arial" w:hAnsi="Arial"/>
          <w:sz w:val="21"/>
          <w:szCs w:val="21"/>
        </w:rPr>
        <w:t xml:space="preserve">La performance collective : comportements de citoyenneté organisationnelle — partage de bonnes pratiques, entraide, défense de l'image de l'entreprise</w:t>
      </w:r>
    </w:p>
    <w:p>
      <w:pPr>
        <w:spacing w:after="140"/>
      </w:pPr>
      <w:r>
        <w:rPr>
          <w:rFonts w:ascii="Arial" w:cs="Arial" w:eastAsia="Arial" w:hAnsi="Arial"/>
          <w:sz w:val="21"/>
          <w:szCs w:val="21"/>
        </w:rPr>
        <w:t xml:space="preserve">Ces comportements de citoyenneté organisationnelle (concept développé par Organ, 1988) sont le propre des salariés engagés. Ils vont au-delà du contrat de travail et constituent un avantage concurrentiel difficile à imiter.</w:t>
      </w:r>
    </w:p>
    <w:p>
      <w:pPr>
        <w:pStyle w:val="Heading2"/>
      </w:pPr>
      <w:r>
        <w:rPr>
          <w:rFonts w:ascii="Arial" w:cs="Arial" w:eastAsia="Arial" w:hAnsi="Arial"/>
          <w:b/>
          <w:bCs/>
          <w:sz w:val="25"/>
          <w:szCs w:val="25"/>
        </w:rPr>
        <w:t xml:space="preserve">2. Bien-être au travail et performance</w:t>
      </w:r>
    </w:p>
    <w:p>
      <w:pPr>
        <w:spacing w:after="140"/>
      </w:pPr>
      <w:r>
        <w:rPr>
          <w:rFonts w:ascii="Arial" w:cs="Arial" w:eastAsia="Arial" w:hAnsi="Arial"/>
          <w:sz w:val="21"/>
          <w:szCs w:val="21"/>
        </w:rPr>
        <w:t xml:space="preserve">Le bien-être au travail est un concept multidimensionnel qui regroupe : la santé physique et mentale, la qualité des relations professionnelles, le sentiment d'utilité et de reconnaissance, et l'équilibre entre vie professionnelle et personnelle.</w:t>
      </w:r>
    </w:p>
    <w:p>
      <w:pPr>
        <w:spacing w:after="140"/>
      </w:pPr>
      <w:r>
        <w:rPr>
          <w:rFonts w:ascii="Arial" w:cs="Arial" w:eastAsia="Arial" w:hAnsi="Arial"/>
          <w:sz w:val="21"/>
          <w:szCs w:val="21"/>
        </w:rPr>
        <w:t xml:space="preserve">La relation entre bien-être et performance est bidirectionnelle :</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4850"/>
        <w:gridCol w:w="4850"/>
      </w:tblGrid>
      <w:tr>
        <w:tc>
          <w:tcPr>
            <w:tcW w:type="dxa" w:w="4850"/>
            <w:tcBorders>
              <w:top w:val="single" w:color="D9D7CE" w:sz="2"/>
              <w:left w:val="single" w:color="D9D7CE" w:sz="2"/>
              <w:bottom w:val="single" w:color="D9D7CE" w:sz="2"/>
              <w:right w:val="single" w:color="D9D7CE" w:sz="2"/>
            </w:tcBorders>
            <w:shd w:fill="E1F5EE" w:val="clear"/>
            <w:tcMar>
              <w:top w:type="dxa" w:w="90"/>
              <w:left w:type="dxa" w:w="130"/>
              <w:bottom w:type="dxa" w:w="90"/>
              <w:right w:type="dxa" w:w="130"/>
            </w:tcMar>
          </w:tcPr>
          <w:p>
            <w:r>
              <w:rPr>
                <w:rFonts w:ascii="Arial" w:cs="Arial" w:eastAsia="Arial" w:hAnsi="Arial"/>
                <w:b/>
                <w:bCs/>
                <w:color w:val="0F6E56"/>
                <w:sz w:val="19"/>
                <w:szCs w:val="19"/>
              </w:rPr>
              <w:t xml:space="preserve">Spirale positive</w:t>
            </w:r>
          </w:p>
        </w:tc>
        <w:tc>
          <w:tcPr>
            <w:tcW w:type="dxa" w:w="4850"/>
            <w:tcBorders>
              <w:top w:val="single" w:color="D9D7CE" w:sz="2"/>
              <w:left w:val="single" w:color="D9D7CE" w:sz="2"/>
              <w:bottom w:val="single" w:color="D9D7CE" w:sz="2"/>
              <w:right w:val="single" w:color="D9D7CE" w:sz="2"/>
            </w:tcBorders>
            <w:shd w:fill="FAECE7" w:val="clear"/>
            <w:tcMar>
              <w:top w:type="dxa" w:w="90"/>
              <w:left w:type="dxa" w:w="130"/>
              <w:bottom w:type="dxa" w:w="90"/>
              <w:right w:type="dxa" w:w="130"/>
            </w:tcMar>
          </w:tcPr>
          <w:p>
            <w:r>
              <w:rPr>
                <w:rFonts w:ascii="Arial" w:cs="Arial" w:eastAsia="Arial" w:hAnsi="Arial"/>
                <w:b/>
                <w:bCs/>
                <w:color w:val="712B13"/>
                <w:sz w:val="19"/>
                <w:szCs w:val="19"/>
              </w:rPr>
              <w:t xml:space="preserve">Spirale négative</w:t>
            </w:r>
          </w:p>
        </w:tc>
      </w:tr>
      <w:tr>
        <w:tc>
          <w:tcPr>
            <w:tcW w:type="dxa" w:w="485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sz w:val="18"/>
                <w:szCs w:val="18"/>
              </w:rPr>
              <w:t xml:space="preserve">Bien-être → motivation → engagement → performance → bien-être</w:t>
            </w:r>
          </w:p>
        </w:tc>
        <w:tc>
          <w:tcPr>
            <w:tcW w:type="dxa" w:w="485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sz w:val="18"/>
                <w:szCs w:val="18"/>
              </w:rPr>
              <w:t xml:space="preserve">Mal-être → démotivation → désengagement → RPS → arrêts de travail</w:t>
            </w:r>
          </w:p>
        </w:tc>
      </w:tr>
    </w:tbl>
    <w:p>
      <w:pPr>
        <w:spacing w:after="140"/>
      </w:pPr>
      <w:r>
        <w:rPr>
          <w:rFonts w:ascii="Arial" w:cs="Arial" w:eastAsia="Arial" w:hAnsi="Arial"/>
          <w:sz w:val="21"/>
          <w:szCs w:val="21"/>
        </w:rPr>
        <w:t xml:space="preserve"/>
      </w:r>
    </w:p>
    <w:p>
      <w:pPr>
        <w:spacing w:after="140"/>
      </w:pPr>
      <w:r>
        <w:rPr>
          <w:rFonts w:ascii="Arial" w:cs="Arial" w:eastAsia="Arial" w:hAnsi="Arial"/>
          <w:sz w:val="21"/>
          <w:szCs w:val="21"/>
        </w:rPr>
        <w:t xml:space="preserve">La recherche en psychologie organisationnelle a montré (Bakker &amp; Schaufeli, 2008) que le bien-être au travail et la performance se renforcent mutuellement dans un cycle vertueux lorsque les ressources professionnelles (soutien du manager, autonomie, feedback) sont suffisantes.</w:t>
      </w:r>
    </w:p>
    <w:p>
      <w:pPr>
        <w:pStyle w:val="Heading2"/>
      </w:pPr>
      <w:r>
        <w:rPr>
          <w:rFonts w:ascii="Arial" w:cs="Arial" w:eastAsia="Arial" w:hAnsi="Arial"/>
          <w:b/>
          <w:bCs/>
          <w:sz w:val="25"/>
          <w:szCs w:val="25"/>
        </w:rPr>
        <w:t xml:space="preserve">3. Les risques psychosociaux (RPS)</w:t>
      </w:r>
    </w:p>
    <w:p>
      <w:pPr>
        <w:spacing w:after="140"/>
      </w:pPr>
      <w:r>
        <w:rPr>
          <w:rFonts w:ascii="Arial" w:cs="Arial" w:eastAsia="Arial" w:hAnsi="Arial"/>
          <w:sz w:val="21"/>
          <w:szCs w:val="21"/>
        </w:rPr>
        <w:t xml:space="preserve">Les risques psychosociaux désignent les risques pour la santé physique et mentale des travailleurs, engendrés par les conditions d'emploi, les facteurs organisationnels et les relations au travail. Ils font l'objet d'une attention croissante des pouvoirs publics depuis le rapport Gollac (2011), qui constitue le document de référence sur le sujet en France.</w:t>
      </w:r>
    </w:p>
    <w:p>
      <w:pPr>
        <w:pStyle w:val="Heading3"/>
      </w:pPr>
      <w:r>
        <w:rPr>
          <w:rFonts w:ascii="Arial" w:cs="Arial" w:eastAsia="Arial" w:hAnsi="Arial"/>
          <w:b/>
          <w:bCs/>
          <w:color w:val="854F0B"/>
          <w:sz w:val="22"/>
          <w:szCs w:val="22"/>
        </w:rPr>
        <w:t xml:space="preserve">Le stress au travail</w:t>
      </w:r>
    </w:p>
    <w:p>
      <w:pPr>
        <w:spacing w:after="140"/>
      </w:pPr>
      <w:r>
        <w:rPr>
          <w:rFonts w:ascii="Arial" w:cs="Arial" w:eastAsia="Arial" w:hAnsi="Arial"/>
          <w:sz w:val="21"/>
          <w:szCs w:val="21"/>
        </w:rPr>
        <w:t xml:space="preserve">Le stress au travail apparaît lorsqu'il y a un déséquilibre entre les exigences du poste (charge, responsabilités, délais) et les ressources dont dispose le salarié pour y faire face (compétences, soutien, autonomie). Le modèle de Karasek (1979) — demande psychologique × latitude décisionnelle × soutien social — reste la référence pour analyser le stress au travail.</w:t>
      </w:r>
    </w:p>
    <w:p>
      <w:pPr>
        <w:pStyle w:val="Heading3"/>
      </w:pPr>
      <w:r>
        <w:rPr>
          <w:rFonts w:ascii="Arial" w:cs="Arial" w:eastAsia="Arial" w:hAnsi="Arial"/>
          <w:b/>
          <w:bCs/>
          <w:color w:val="854F0B"/>
          <w:sz w:val="22"/>
          <w:szCs w:val="22"/>
        </w:rPr>
        <w:t xml:space="preserve">Le burn-out</w:t>
      </w:r>
    </w:p>
    <w:p>
      <w:pPr>
        <w:spacing w:after="140"/>
      </w:pPr>
      <w:r>
        <w:rPr>
          <w:rFonts w:ascii="Arial" w:cs="Arial" w:eastAsia="Arial" w:hAnsi="Arial"/>
          <w:sz w:val="21"/>
          <w:szCs w:val="21"/>
        </w:rPr>
        <w:t xml:space="preserve">Le burn-out, ou syndrome d'épuisement professionnel, est défini par trois dimensions (Maslach &amp; Jackson, 1981) : l'épuisement émotionnel, la dépersonnalisation (détachement cynique), et la réduction du sentiment d'accomplissement personnel. Il touche paradoxalement souvent les salariés les plus engagés, qui n'ont pas vu ou accepté les signaux d'alerte.</w:t>
      </w:r>
    </w:p>
    <w:p>
      <w:pPr>
        <w:pBdr>
          <w:left w:val="single" w:color="0F6E56" w:sz="12" w:space="8"/>
        </w:pBdr>
        <w:spacing w:after="140" w:before="100"/>
        <w:ind w:left="360"/>
      </w:pPr>
      <w:r>
        <w:rPr>
          <w:rFonts w:ascii="Arial" w:cs="Arial" w:eastAsia="Arial" w:hAnsi="Arial"/>
          <w:i/>
          <w:iCs/>
          <w:color w:val="444441"/>
          <w:sz w:val="20"/>
          <w:szCs w:val="20"/>
        </w:rPr>
        <w:t xml:space="preserve">« Le burn-out est la maladie des gens qui font trop, pas de ceux qui font trop peu. » — Christina Maslach</w:t>
      </w:r>
    </w:p>
    <w:p>
      <w:pPr>
        <w:pStyle w:val="Heading3"/>
      </w:pPr>
      <w:r>
        <w:rPr>
          <w:rFonts w:ascii="Arial" w:cs="Arial" w:eastAsia="Arial" w:hAnsi="Arial"/>
          <w:b/>
          <w:bCs/>
          <w:color w:val="854F0B"/>
          <w:sz w:val="22"/>
          <w:szCs w:val="22"/>
        </w:rPr>
        <w:t xml:space="preserve">Le bore-out et le brown-out</w:t>
      </w:r>
    </w:p>
    <w:p>
      <w:pPr>
        <w:spacing w:after="140"/>
      </w:pPr>
      <w:r>
        <w:rPr>
          <w:rFonts w:ascii="Arial" w:cs="Arial" w:eastAsia="Arial" w:hAnsi="Arial"/>
          <w:sz w:val="21"/>
          <w:szCs w:val="21"/>
        </w:rPr>
        <w:t xml:space="preserve">Le bore-out (ennui chronique) survient lorsque les compétences du salarié sont sous-utilisées par rapport à ses capacités réelles. Le brown-out désigne quant à lui une perte de sens progressive : le salarié exécute ses tâches mais ne comprend plus leur utilité ou ne s'y reconnaît plus. Ces deux phénomènes, moins visibles que le burn-out, ont des conséquences comparables en termes d'absentéisme et de démotivation.</w:t>
      </w:r>
    </w:p>
    <w:p>
      <w:r>
        <w:br w:type="page"/>
      </w:r>
    </w:p>
    <w:p>
      <w:pPr>
        <w:pStyle w:val="Heading1"/>
      </w:pPr>
      <w:r>
        <w:rPr>
          <w:rFonts w:ascii="Arial" w:cs="Arial" w:eastAsia="Arial" w:hAnsi="Arial"/>
          <w:b/>
          <w:bCs/>
          <w:sz w:val="32"/>
          <w:szCs w:val="32"/>
        </w:rPr>
        <w:t xml:space="preserve">Module 4 — QVT et prévention</w:t>
      </w:r>
    </w:p>
    <w:p>
      <w:pPr>
        <w:pStyle w:val="Heading2"/>
      </w:pPr>
      <w:r>
        <w:rPr>
          <w:rFonts w:ascii="Arial" w:cs="Arial" w:eastAsia="Arial" w:hAnsi="Arial"/>
          <w:b/>
          <w:bCs/>
          <w:sz w:val="25"/>
          <w:szCs w:val="25"/>
        </w:rPr>
        <w:t xml:space="preserve">1. Définition de la QVT</w:t>
      </w:r>
    </w:p>
    <w:p>
      <w:pPr>
        <w:spacing w:after="140"/>
      </w:pPr>
      <w:r>
        <w:rPr>
          <w:rFonts w:ascii="Arial" w:cs="Arial" w:eastAsia="Arial" w:hAnsi="Arial"/>
          <w:sz w:val="21"/>
          <w:szCs w:val="21"/>
        </w:rPr>
        <w:t xml:space="preserve">La Qualité de Vie au Travail (QVT) est définie par l'ANACT comme « les conditions dans lesquelles les salariés exercent leur travail et leur capacité à s'exprimer et à agir sur le contenu de celui-ci ». Depuis 2020, on parle également de QVCT — Qualité de Vie et des Conditions de Travail — pour mieux intégrer la dimension des conditions de travail dans la définition.</w:t>
      </w:r>
    </w:p>
    <w:p>
      <w:pPr>
        <w:spacing w:after="140"/>
      </w:pPr>
      <w:r>
        <w:rPr>
          <w:rFonts w:ascii="Arial" w:cs="Arial" w:eastAsia="Arial" w:hAnsi="Arial"/>
          <w:sz w:val="21"/>
          <w:szCs w:val="21"/>
        </w:rPr>
        <w:t xml:space="preserve">L'accord national interprofessionnel (ANI) du 19 juin 2013 sur la QVT constitue le texte fondateur en la matière. Il définit six domaines d'action :</w:t>
      </w:r>
    </w:p>
    <w:p>
      <w:pPr>
        <w:pStyle w:val="ListParagraph"/>
        <w:numPr>
          <w:ilvl w:val="0"/>
          <w:numId w:val="2"/>
        </w:numPr>
        <w:spacing w:after="80"/>
      </w:pPr>
      <w:r>
        <w:rPr>
          <w:rFonts w:ascii="Arial" w:cs="Arial" w:eastAsia="Arial" w:hAnsi="Arial"/>
          <w:sz w:val="21"/>
          <w:szCs w:val="21"/>
        </w:rPr>
        <w:t xml:space="preserve">Les relations au travail et le climat social</w:t>
      </w:r>
    </w:p>
    <w:p>
      <w:pPr>
        <w:pStyle w:val="ListParagraph"/>
        <w:numPr>
          <w:ilvl w:val="0"/>
          <w:numId w:val="2"/>
        </w:numPr>
        <w:spacing w:after="80"/>
      </w:pPr>
      <w:r>
        <w:rPr>
          <w:rFonts w:ascii="Arial" w:cs="Arial" w:eastAsia="Arial" w:hAnsi="Arial"/>
          <w:sz w:val="21"/>
          <w:szCs w:val="21"/>
        </w:rPr>
        <w:t xml:space="preserve">Le contenu du travail (sens, intérêt, autonomie)</w:t>
      </w:r>
    </w:p>
    <w:p>
      <w:pPr>
        <w:pStyle w:val="ListParagraph"/>
        <w:numPr>
          <w:ilvl w:val="0"/>
          <w:numId w:val="2"/>
        </w:numPr>
        <w:spacing w:after="80"/>
      </w:pPr>
      <w:r>
        <w:rPr>
          <w:rFonts w:ascii="Arial" w:cs="Arial" w:eastAsia="Arial" w:hAnsi="Arial"/>
          <w:sz w:val="21"/>
          <w:szCs w:val="21"/>
        </w:rPr>
        <w:t xml:space="preserve">La santé au travail (prévention, sécurité)</w:t>
      </w:r>
    </w:p>
    <w:p>
      <w:pPr>
        <w:pStyle w:val="ListParagraph"/>
        <w:numPr>
          <w:ilvl w:val="0"/>
          <w:numId w:val="2"/>
        </w:numPr>
        <w:spacing w:after="80"/>
      </w:pPr>
      <w:r>
        <w:rPr>
          <w:rFonts w:ascii="Arial" w:cs="Arial" w:eastAsia="Arial" w:hAnsi="Arial"/>
          <w:sz w:val="21"/>
          <w:szCs w:val="21"/>
        </w:rPr>
        <w:t xml:space="preserve">Les compétences et parcours professionnels</w:t>
      </w:r>
    </w:p>
    <w:p>
      <w:pPr>
        <w:pStyle w:val="ListParagraph"/>
        <w:numPr>
          <w:ilvl w:val="0"/>
          <w:numId w:val="2"/>
        </w:numPr>
        <w:spacing w:after="80"/>
      </w:pPr>
      <w:r>
        <w:rPr>
          <w:rFonts w:ascii="Arial" w:cs="Arial" w:eastAsia="Arial" w:hAnsi="Arial"/>
          <w:sz w:val="21"/>
          <w:szCs w:val="21"/>
        </w:rPr>
        <w:t xml:space="preserve">L'égalité professionnelle</w:t>
      </w:r>
    </w:p>
    <w:p>
      <w:pPr>
        <w:pStyle w:val="ListParagraph"/>
        <w:numPr>
          <w:ilvl w:val="0"/>
          <w:numId w:val="2"/>
        </w:numPr>
        <w:spacing w:after="80"/>
      </w:pPr>
      <w:r>
        <w:rPr>
          <w:rFonts w:ascii="Arial" w:cs="Arial" w:eastAsia="Arial" w:hAnsi="Arial"/>
          <w:sz w:val="21"/>
          <w:szCs w:val="21"/>
        </w:rPr>
        <w:t xml:space="preserve">L'organisation du travail (charge, horaires, télétravail)</w:t>
      </w:r>
    </w:p>
    <w:p>
      <w:pPr>
        <w:pStyle w:val="Heading2"/>
      </w:pPr>
      <w:r>
        <w:rPr>
          <w:rFonts w:ascii="Arial" w:cs="Arial" w:eastAsia="Arial" w:hAnsi="Arial"/>
          <w:b/>
          <w:bCs/>
          <w:sz w:val="25"/>
          <w:szCs w:val="25"/>
        </w:rPr>
        <w:t xml:space="preserve">2. Les trois niveaux de prévention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500"/>
        <w:gridCol w:w="2800"/>
        <w:gridCol w:w="4400"/>
      </w:tblGrid>
      <w:tr>
        <w:tc>
          <w:tcPr>
            <w:tcW w:type="dxa" w:w="2500"/>
            <w:tcBorders>
              <w:top w:val="single" w:color="D9D7CE" w:sz="2"/>
              <w:left w:val="single" w:color="D9D7CE" w:sz="2"/>
              <w:bottom w:val="single" w:color="D9D7CE" w:sz="2"/>
              <w:right w:val="single" w:color="D9D7CE" w:sz="2"/>
            </w:tcBorders>
            <w:shd w:fill="E1F5EE" w:val="clear"/>
            <w:tcMar>
              <w:top w:type="dxa" w:w="90"/>
              <w:left w:type="dxa" w:w="130"/>
              <w:bottom w:type="dxa" w:w="90"/>
              <w:right w:type="dxa" w:w="130"/>
            </w:tcMar>
          </w:tcPr>
          <w:p>
            <w:r>
              <w:rPr>
                <w:rFonts w:ascii="Arial" w:cs="Arial" w:eastAsia="Arial" w:hAnsi="Arial"/>
                <w:b/>
                <w:bCs/>
                <w:color w:val="0F6E56"/>
                <w:sz w:val="18"/>
                <w:szCs w:val="18"/>
              </w:rPr>
              <w:t xml:space="preserve">Niveau</w:t>
            </w:r>
          </w:p>
        </w:tc>
        <w:tc>
          <w:tcPr>
            <w:tcW w:type="dxa" w:w="2800"/>
            <w:tcBorders>
              <w:top w:val="single" w:color="D9D7CE" w:sz="2"/>
              <w:left w:val="single" w:color="D9D7CE" w:sz="2"/>
              <w:bottom w:val="single" w:color="D9D7CE" w:sz="2"/>
              <w:right w:val="single" w:color="D9D7CE" w:sz="2"/>
            </w:tcBorders>
            <w:shd w:fill="E1F5EE" w:val="clear"/>
            <w:tcMar>
              <w:top w:type="dxa" w:w="90"/>
              <w:left w:type="dxa" w:w="130"/>
              <w:bottom w:type="dxa" w:w="90"/>
              <w:right w:type="dxa" w:w="130"/>
            </w:tcMar>
          </w:tcPr>
          <w:p>
            <w:r>
              <w:rPr>
                <w:rFonts w:ascii="Arial" w:cs="Arial" w:eastAsia="Arial" w:hAnsi="Arial"/>
                <w:b/>
                <w:bCs/>
                <w:color w:val="0F6E56"/>
                <w:sz w:val="18"/>
                <w:szCs w:val="18"/>
              </w:rPr>
              <w:t xml:space="preserve">Objectif</w:t>
            </w:r>
          </w:p>
        </w:tc>
        <w:tc>
          <w:tcPr>
            <w:tcW w:type="dxa" w:w="4400"/>
            <w:tcBorders>
              <w:top w:val="single" w:color="D9D7CE" w:sz="2"/>
              <w:left w:val="single" w:color="D9D7CE" w:sz="2"/>
              <w:bottom w:val="single" w:color="D9D7CE" w:sz="2"/>
              <w:right w:val="single" w:color="D9D7CE" w:sz="2"/>
            </w:tcBorders>
            <w:shd w:fill="E1F5EE" w:val="clear"/>
            <w:tcMar>
              <w:top w:type="dxa" w:w="90"/>
              <w:left w:type="dxa" w:w="130"/>
              <w:bottom w:type="dxa" w:w="90"/>
              <w:right w:type="dxa" w:w="130"/>
            </w:tcMar>
          </w:tcPr>
          <w:p>
            <w:r>
              <w:rPr>
                <w:rFonts w:ascii="Arial" w:cs="Arial" w:eastAsia="Arial" w:hAnsi="Arial"/>
                <w:b/>
                <w:bCs/>
                <w:color w:val="0F6E56"/>
                <w:sz w:val="18"/>
                <w:szCs w:val="18"/>
              </w:rPr>
              <w:t xml:space="preserve">Exemples d'actions</w:t>
            </w:r>
          </w:p>
        </w:tc>
      </w:tr>
      <w:tr>
        <w:tc>
          <w:tcPr>
            <w:tcW w:type="dxa" w:w="25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bCs/>
                <w:sz w:val="18"/>
                <w:szCs w:val="18"/>
              </w:rPr>
              <w:t xml:space="preserve">Prévention primaire</w:t>
            </w:r>
          </w:p>
        </w:tc>
        <w:tc>
          <w:tcPr>
            <w:tcW w:type="dxa" w:w="28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Agir sur les causes</w:t>
            </w:r>
          </w:p>
        </w:tc>
        <w:tc>
          <w:tcPr>
            <w:tcW w:type="dxa" w:w="44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Revoir l'organisation, améliorer le management, réduire la surcharge</w:t>
            </w:r>
          </w:p>
        </w:tc>
      </w:tr>
      <w:tr>
        <w:tc>
          <w:tcPr>
            <w:tcW w:type="dxa" w:w="25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bCs/>
                <w:sz w:val="18"/>
                <w:szCs w:val="18"/>
              </w:rPr>
              <w:t xml:space="preserve">Prévention secondaire</w:t>
            </w:r>
          </w:p>
        </w:tc>
        <w:tc>
          <w:tcPr>
            <w:tcW w:type="dxa" w:w="28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Renforcer les individus</w:t>
            </w:r>
          </w:p>
        </w:tc>
        <w:tc>
          <w:tcPr>
            <w:tcW w:type="dxa" w:w="44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Formations gestion du stress, ateliers bien-être, programme de soutien</w:t>
            </w:r>
          </w:p>
        </w:tc>
      </w:tr>
      <w:tr>
        <w:tc>
          <w:tcPr>
            <w:tcW w:type="dxa" w:w="25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bCs/>
                <w:sz w:val="18"/>
                <w:szCs w:val="18"/>
              </w:rPr>
              <w:t xml:space="preserve">Prévention tertiaire</w:t>
            </w:r>
          </w:p>
        </w:tc>
        <w:tc>
          <w:tcPr>
            <w:tcW w:type="dxa" w:w="28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Limiter les dégâts</w:t>
            </w:r>
          </w:p>
        </w:tc>
        <w:tc>
          <w:tcPr>
            <w:tcW w:type="dxa" w:w="4400"/>
            <w:tcBorders>
              <w:top w:val="single" w:color="D9D7CE" w:sz="2"/>
              <w:left w:val="single" w:color="D9D7CE" w:sz="2"/>
              <w:bottom w:val="single" w:color="D9D7CE" w:sz="2"/>
              <w:right w:val="single" w:color="D9D7CE" w:sz="2"/>
            </w:tcBorders>
            <w:tcMar>
              <w:top w:type="dxa" w:w="90"/>
              <w:left w:type="dxa" w:w="130"/>
              <w:bottom w:type="dxa" w:w="90"/>
              <w:right w:type="dxa" w:w="130"/>
            </w:tcMar>
          </w:tcPr>
          <w:p>
            <w:r>
              <w:rPr>
                <w:rFonts w:ascii="Arial" w:cs="Arial" w:eastAsia="Arial" w:hAnsi="Arial"/>
                <w:b w:val="false"/>
                <w:bCs w:val="false"/>
                <w:sz w:val="18"/>
                <w:szCs w:val="18"/>
              </w:rPr>
              <w:t xml:space="preserve">Accompagnement psychologique, cellule de crise, reprise progressive</w:t>
            </w:r>
          </w:p>
        </w:tc>
      </w:tr>
    </w:tbl>
    <w:p>
      <w:pPr>
        <w:spacing w:after="140"/>
      </w:pPr>
      <w:r>
        <w:rPr>
          <w:rFonts w:ascii="Arial" w:cs="Arial" w:eastAsia="Arial" w:hAnsi="Arial"/>
          <w:sz w:val="21"/>
          <w:szCs w:val="21"/>
        </w:rPr>
        <w:t xml:space="preserve"/>
      </w:r>
    </w:p>
    <w:p>
      <w:pPr>
        <w:spacing w:after="140"/>
      </w:pPr>
      <w:r>
        <w:rPr>
          <w:rFonts w:ascii="Arial" w:cs="Arial" w:eastAsia="Arial" w:hAnsi="Arial"/>
          <w:sz w:val="21"/>
          <w:szCs w:val="21"/>
        </w:rPr>
        <w:t xml:space="preserve">La prévention primaire est la plus efficace sur le long terme car elle s'attaque aux sources du problème. Trop souvent, les entreprises investissent essentiellement dans la prévention tertiaire (réagir quand ça va mal) plutôt que dans la prévention primaire (éviter que ça aille mal).</w:t>
      </w:r>
    </w:p>
    <w:p>
      <w:pPr>
        <w:pStyle w:val="Heading2"/>
      </w:pPr>
      <w:r>
        <w:rPr>
          <w:rFonts w:ascii="Arial" w:cs="Arial" w:eastAsia="Arial" w:hAnsi="Arial"/>
          <w:b/>
          <w:bCs/>
          <w:sz w:val="25"/>
          <w:szCs w:val="25"/>
        </w:rPr>
        <w:t xml:space="preserve">3. Le rôle des acteurs internes</w:t>
      </w:r>
    </w:p>
    <w:p>
      <w:pPr>
        <w:pStyle w:val="ListParagraph"/>
        <w:numPr>
          <w:ilvl w:val="0"/>
          <w:numId w:val="2"/>
        </w:numPr>
        <w:spacing w:after="80"/>
      </w:pPr>
      <w:r>
        <w:rPr>
          <w:rFonts w:ascii="Arial" w:cs="Arial" w:eastAsia="Arial" w:hAnsi="Arial"/>
          <w:sz w:val="21"/>
          <w:szCs w:val="21"/>
        </w:rPr>
        <w:t xml:space="preserve">La direction : impulse la politique QVT, alloue les ressources, donne l'exemple</w:t>
      </w:r>
    </w:p>
    <w:p>
      <w:pPr>
        <w:pStyle w:val="ListParagraph"/>
        <w:numPr>
          <w:ilvl w:val="0"/>
          <w:numId w:val="2"/>
        </w:numPr>
        <w:spacing w:after="80"/>
      </w:pPr>
      <w:r>
        <w:rPr>
          <w:rFonts w:ascii="Arial" w:cs="Arial" w:eastAsia="Arial" w:hAnsi="Arial"/>
          <w:sz w:val="21"/>
          <w:szCs w:val="21"/>
        </w:rPr>
        <w:t xml:space="preserve">Les managers de proximité : détectent les signaux faibles, adoptent un management bienveillant et participatif</w:t>
      </w:r>
    </w:p>
    <w:p>
      <w:pPr>
        <w:pStyle w:val="ListParagraph"/>
        <w:numPr>
          <w:ilvl w:val="0"/>
          <w:numId w:val="2"/>
        </w:numPr>
        <w:spacing w:after="80"/>
      </w:pPr>
      <w:r>
        <w:rPr>
          <w:rFonts w:ascii="Arial" w:cs="Arial" w:eastAsia="Arial" w:hAnsi="Arial"/>
          <w:sz w:val="21"/>
          <w:szCs w:val="21"/>
        </w:rPr>
        <w:t xml:space="preserve">Les équipes RH : pilotent le diagnostic social, conçoivent et suivent le plan QVT, forment les managers</w:t>
      </w:r>
    </w:p>
    <w:p>
      <w:pPr>
        <w:pStyle w:val="ListParagraph"/>
        <w:numPr>
          <w:ilvl w:val="0"/>
          <w:numId w:val="2"/>
        </w:numPr>
        <w:spacing w:after="80"/>
      </w:pPr>
      <w:r>
        <w:rPr>
          <w:rFonts w:ascii="Arial" w:cs="Arial" w:eastAsia="Arial" w:hAnsi="Arial"/>
          <w:sz w:val="21"/>
          <w:szCs w:val="21"/>
        </w:rPr>
        <w:t xml:space="preserve">Le CSE : consulté sur les décisions impactant les conditions de travail, relai des salariés</w:t>
      </w:r>
    </w:p>
    <w:p>
      <w:pPr>
        <w:pStyle w:val="ListParagraph"/>
        <w:numPr>
          <w:ilvl w:val="0"/>
          <w:numId w:val="2"/>
        </w:numPr>
        <w:spacing w:after="80"/>
      </w:pPr>
      <w:r>
        <w:rPr>
          <w:rFonts w:ascii="Arial" w:cs="Arial" w:eastAsia="Arial" w:hAnsi="Arial"/>
          <w:sz w:val="21"/>
          <w:szCs w:val="21"/>
        </w:rPr>
        <w:t xml:space="preserve">La médecine du travail : prévention, aménagements de poste, alerte sur les situations à risque</w:t>
      </w:r>
    </w:p>
    <w:p>
      <w:pPr>
        <w:pStyle w:val="ListParagraph"/>
        <w:numPr>
          <w:ilvl w:val="0"/>
          <w:numId w:val="2"/>
        </w:numPr>
        <w:spacing w:after="80"/>
      </w:pPr>
      <w:r>
        <w:rPr>
          <w:rFonts w:ascii="Arial" w:cs="Arial" w:eastAsia="Arial" w:hAnsi="Arial"/>
          <w:sz w:val="21"/>
          <w:szCs w:val="21"/>
        </w:rPr>
        <w:t xml:space="preserve">Les salariés eux-mêmes : acteurs et non simples bénéficiaires via les dispositifs participatifs</w:t>
      </w:r>
    </w:p>
    <w:p>
      <w:pPr>
        <w:pStyle w:val="Heading2"/>
      </w:pPr>
      <w:r>
        <w:rPr>
          <w:rFonts w:ascii="Arial" w:cs="Arial" w:eastAsia="Arial" w:hAnsi="Arial"/>
          <w:b/>
          <w:bCs/>
          <w:sz w:val="25"/>
          <w:szCs w:val="25"/>
        </w:rPr>
        <w:t xml:space="preserve">Synthèse de la semaine 2</w:t>
      </w:r>
    </w:p>
    <w:p>
      <w:pPr>
        <w:pStyle w:val="ListParagraph"/>
        <w:numPr>
          <w:ilvl w:val="0"/>
          <w:numId w:val="2"/>
        </w:numPr>
        <w:spacing w:after="80"/>
      </w:pPr>
      <w:r>
        <w:rPr>
          <w:rFonts w:ascii="Arial" w:cs="Arial" w:eastAsia="Arial" w:hAnsi="Arial"/>
          <w:sz w:val="21"/>
          <w:szCs w:val="21"/>
        </w:rPr>
        <w:t xml:space="preserve">Motivation et engagement ont un impact direct et chiffré sur la performance (Gallup 2023 : +23%)</w:t>
      </w:r>
    </w:p>
    <w:p>
      <w:pPr>
        <w:pStyle w:val="ListParagraph"/>
        <w:numPr>
          <w:ilvl w:val="0"/>
          <w:numId w:val="2"/>
        </w:numPr>
        <w:spacing w:after="80"/>
      </w:pPr>
      <w:r>
        <w:rPr>
          <w:rFonts w:ascii="Arial" w:cs="Arial" w:eastAsia="Arial" w:hAnsi="Arial"/>
          <w:sz w:val="21"/>
          <w:szCs w:val="21"/>
        </w:rPr>
        <w:t xml:space="preserve">Le mal-être au travail enclenche une spirale négative menant aux RPS</w:t>
      </w:r>
    </w:p>
    <w:p>
      <w:pPr>
        <w:pStyle w:val="ListParagraph"/>
        <w:numPr>
          <w:ilvl w:val="0"/>
          <w:numId w:val="2"/>
        </w:numPr>
        <w:spacing w:after="80"/>
      </w:pPr>
      <w:r>
        <w:rPr>
          <w:rFonts w:ascii="Arial" w:cs="Arial" w:eastAsia="Arial" w:hAnsi="Arial"/>
          <w:sz w:val="21"/>
          <w:szCs w:val="21"/>
        </w:rPr>
        <w:t xml:space="preserve">Les RPS (stress, burn-out, bore-out, brown-out) coûtent cher humainement et économiquement</w:t>
      </w:r>
    </w:p>
    <w:p>
      <w:pPr>
        <w:pStyle w:val="ListParagraph"/>
        <w:numPr>
          <w:ilvl w:val="0"/>
          <w:numId w:val="2"/>
        </w:numPr>
        <w:spacing w:after="80"/>
      </w:pPr>
      <w:r>
        <w:rPr>
          <w:rFonts w:ascii="Arial" w:cs="Arial" w:eastAsia="Arial" w:hAnsi="Arial"/>
          <w:sz w:val="21"/>
          <w:szCs w:val="21"/>
        </w:rPr>
        <w:t xml:space="preserve">La QVT est un système global à 6 dimensions, bien au-delà du confort matériel</w:t>
      </w:r>
    </w:p>
    <w:p>
      <w:pPr>
        <w:pStyle w:val="ListParagraph"/>
        <w:numPr>
          <w:ilvl w:val="0"/>
          <w:numId w:val="2"/>
        </w:numPr>
        <w:spacing w:after="80"/>
      </w:pPr>
      <w:r>
        <w:rPr>
          <w:rFonts w:ascii="Arial" w:cs="Arial" w:eastAsia="Arial" w:hAnsi="Arial"/>
          <w:sz w:val="21"/>
          <w:szCs w:val="21"/>
        </w:rPr>
        <w:t xml:space="preserve">3 niveaux de prévention : agir sur les causes (primaire) est le plus efficace</w:t>
      </w:r>
    </w:p>
    <w:p>
      <w:pPr>
        <w:pStyle w:val="ListParagraph"/>
        <w:numPr>
          <w:ilvl w:val="0"/>
          <w:numId w:val="2"/>
        </w:numPr>
        <w:spacing w:after="80"/>
      </w:pPr>
      <w:r>
        <w:rPr>
          <w:rFonts w:ascii="Arial" w:cs="Arial" w:eastAsia="Arial" w:hAnsi="Arial"/>
          <w:sz w:val="21"/>
          <w:szCs w:val="21"/>
        </w:rPr>
        <w:t xml:space="preserve">La QVT mobilise tous les acteurs internes : DG, managers, RH, CSE, médecine du travail, salariés</w:t>
      </w:r>
    </w:p>
    <w:p>
      <w:pPr>
        <w:pStyle w:val="Heading2"/>
      </w:pPr>
      <w:r>
        <w:rPr>
          <w:rFonts w:ascii="Arial" w:cs="Arial" w:eastAsia="Arial" w:hAnsi="Arial"/>
          <w:b/>
          <w:bCs/>
          <w:sz w:val="25"/>
          <w:szCs w:val="25"/>
        </w:rPr>
        <w:t xml:space="preserve">Bibliographie indicative</w:t>
      </w:r>
    </w:p>
    <w:p>
      <w:pPr>
        <w:pStyle w:val="ListParagraph"/>
        <w:numPr>
          <w:ilvl w:val="0"/>
          <w:numId w:val="2"/>
        </w:numPr>
        <w:spacing w:after="80"/>
      </w:pPr>
      <w:r>
        <w:rPr>
          <w:rFonts w:ascii="Arial" w:cs="Arial" w:eastAsia="Arial" w:hAnsi="Arial"/>
          <w:sz w:val="21"/>
          <w:szCs w:val="21"/>
        </w:rPr>
        <w:t xml:space="preserve">Gallup (2023). State of the Global Workplace Report.</w:t>
      </w:r>
    </w:p>
    <w:p>
      <w:pPr>
        <w:pStyle w:val="ListParagraph"/>
        <w:numPr>
          <w:ilvl w:val="0"/>
          <w:numId w:val="2"/>
        </w:numPr>
        <w:spacing w:after="80"/>
      </w:pPr>
      <w:r>
        <w:rPr>
          <w:rFonts w:ascii="Arial" w:cs="Arial" w:eastAsia="Arial" w:hAnsi="Arial"/>
          <w:sz w:val="21"/>
          <w:szCs w:val="21"/>
        </w:rPr>
        <w:t xml:space="preserve">Maslach, C. &amp; Jackson, S. E. (1981). The measurement of experienced burnout.</w:t>
      </w:r>
    </w:p>
    <w:p>
      <w:pPr>
        <w:pStyle w:val="ListParagraph"/>
        <w:numPr>
          <w:ilvl w:val="0"/>
          <w:numId w:val="2"/>
        </w:numPr>
        <w:spacing w:after="80"/>
      </w:pPr>
      <w:r>
        <w:rPr>
          <w:rFonts w:ascii="Arial" w:cs="Arial" w:eastAsia="Arial" w:hAnsi="Arial"/>
          <w:sz w:val="21"/>
          <w:szCs w:val="21"/>
        </w:rPr>
        <w:t xml:space="preserve">Karasek, R. (1979). Job demands, job decision latitude and mental strain.</w:t>
      </w:r>
    </w:p>
    <w:p>
      <w:pPr>
        <w:pStyle w:val="ListParagraph"/>
        <w:numPr>
          <w:ilvl w:val="0"/>
          <w:numId w:val="2"/>
        </w:numPr>
        <w:spacing w:after="80"/>
      </w:pPr>
      <w:r>
        <w:rPr>
          <w:rFonts w:ascii="Arial" w:cs="Arial" w:eastAsia="Arial" w:hAnsi="Arial"/>
          <w:sz w:val="21"/>
          <w:szCs w:val="21"/>
        </w:rPr>
        <w:t xml:space="preserve">Gollac, M. &amp; Bodier, M. (2011). Mesurer les facteurs psychosociaux de risque au travail — Rapport Gollac.</w:t>
      </w:r>
    </w:p>
    <w:p>
      <w:pPr>
        <w:pStyle w:val="ListParagraph"/>
        <w:numPr>
          <w:ilvl w:val="0"/>
          <w:numId w:val="2"/>
        </w:numPr>
        <w:spacing w:after="80"/>
      </w:pPr>
      <w:r>
        <w:rPr>
          <w:rFonts w:ascii="Arial" w:cs="Arial" w:eastAsia="Arial" w:hAnsi="Arial"/>
          <w:sz w:val="21"/>
          <w:szCs w:val="21"/>
        </w:rPr>
        <w:t xml:space="preserve">ANACT (2022). Ressources QVT et QVCT — anact.fr</w:t>
      </w:r>
    </w:p>
    <w:p>
      <w:pPr>
        <w:pStyle w:val="ListParagraph"/>
        <w:numPr>
          <w:ilvl w:val="0"/>
          <w:numId w:val="2"/>
        </w:numPr>
        <w:spacing w:after="80"/>
      </w:pPr>
      <w:r>
        <w:rPr>
          <w:rFonts w:ascii="Arial" w:cs="Arial" w:eastAsia="Arial" w:hAnsi="Arial"/>
          <w:sz w:val="21"/>
          <w:szCs w:val="21"/>
        </w:rPr>
        <w:t xml:space="preserve">ANI du 19 juin 2013 relatif à la qualité de vie au travail.</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F6E56"/>
      <w:sz w:val="32"/>
      <w:szCs w:val="32"/>
    </w:rPr>
  </w:style>
  <w:style w:type="paragraph" w:styleId="Heading2">
    <w:name w:val="Heading 2"/>
    <w:basedOn w:val="Normal"/>
    <w:next w:val="Normal"/>
    <w:qFormat/>
    <w:pPr>
      <w:spacing w:after="140" w:before="260"/>
      <w:outlineLvl w:val="1"/>
    </w:pPr>
    <w:rPr>
      <w:rFonts w:ascii="Arial" w:cs="Arial" w:eastAsia="Arial" w:hAnsi="Arial"/>
      <w:b/>
      <w:bCs/>
      <w:color w:val="2C2C2A"/>
      <w:sz w:val="25"/>
      <w:szCs w:val="25"/>
    </w:rPr>
  </w:style>
  <w:style w:type="paragraph" w:styleId="Heading3">
    <w:name w:val="Heading 3"/>
    <w:basedOn w:val="Normal"/>
    <w:next w:val="Normal"/>
    <w:qFormat/>
    <w:pPr>
      <w:spacing w:after="100" w:before="200"/>
      <w:outlineLvl w:val="2"/>
    </w:pPr>
    <w:rPr>
      <w:rFonts w:ascii="Arial" w:cs="Arial" w:eastAsia="Arial" w:hAnsi="Arial"/>
      <w:b/>
      <w:bCs/>
      <w:color w:val="854F0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2026-06-22T07:56:32.531Z</dcterms:created>
  <dcterms:modified xsi:type="dcterms:W3CDTF">2026-06-22T07:56:32.531Z</dcterms:modified>
</cp:coreProperties>
</file>

<file path=docProps/custom.xml><?xml version="1.0" encoding="utf-8"?>
<Properties xmlns="http://schemas.openxmlformats.org/officeDocument/2006/custom-properties" xmlns:vt="http://schemas.openxmlformats.org/officeDocument/2006/docPropsVTypes"/>
</file>