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color w:val="5F5E5A"/>
          <w:sz w:val="17"/>
          <w:szCs w:val="17"/>
        </w:rPr>
        <w:t xml:space="preserve">MOOC — Motivation et engagement des salariés</w:t>
      </w:r>
    </w:p>
    <w:p>
      <w:pPr>
        <w:spacing w:after="20"/>
      </w:pPr>
      <w:r>
        <w:rPr>
          <w:rFonts w:ascii="Arial" w:cs="Arial" w:eastAsia="Arial" w:hAnsi="Arial"/>
          <w:b/>
          <w:bCs/>
          <w:color w:val="0F6E56"/>
          <w:sz w:val="30"/>
          <w:szCs w:val="30"/>
        </w:rPr>
        <w:t xml:space="preserve">Semaine 1 : Comprendre les fondamentaux</w:t>
      </w:r>
    </w:p>
    <w:p>
      <w:pPr>
        <w:spacing w:after="160"/>
      </w:pPr>
      <w:r>
        <w:rPr>
          <w:rFonts w:ascii="Arial" w:cs="Arial" w:eastAsia="Arial" w:hAnsi="Arial"/>
          <w:i/>
          <w:iCs/>
          <w:color w:val="5F5E5A"/>
          <w:sz w:val="18"/>
          <w:szCs w:val="18"/>
        </w:rPr>
        <w:t xml:space="preserve">Fiche résumé — 1 page</w:t>
      </w:r>
    </w:p>
    <w:p>
      <w:pPr>
        <w:pBdr>
          <w:bottom w:val="single" w:color="0F6E56" w:sz="6" w:space="2"/>
        </w:pBdr>
        <w:spacing w:after="100" w:before="20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Objectifs pédagogiques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Distinguer la motivation de l'engagement au travail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Identifier les principaux facteurs qui influencent la motivation des salariés</w:t>
      </w:r>
    </w:p>
    <w:p>
      <w:pPr>
        <w:pBdr>
          <w:bottom w:val="single" w:color="0F6E56" w:sz="6" w:space="2"/>
        </w:pBdr>
        <w:spacing w:after="100" w:before="20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Module 1 — Motivation vs engagement</w:t>
      </w:r>
    </w:p>
    <w:p>
      <w:pPr>
        <w:spacing w:after="6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La motivation : </w:t>
      </w:r>
      <w:r>
        <w:rPr>
          <w:rFonts w:ascii="Arial" w:cs="Arial" w:eastAsia="Arial" w:hAnsi="Arial"/>
          <w:sz w:val="19"/>
          <w:szCs w:val="19"/>
        </w:rPr>
        <w:t xml:space="preserve">l'énergie et la volonté qui poussent un individu à agir pour atteindre un objectif. Elle est souvent ponctuelle et liée à une tâche précise.</w:t>
      </w:r>
    </w:p>
    <w:p>
      <w:pPr>
        <w:spacing w:after="10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L'engagement : </w:t>
      </w:r>
      <w:r>
        <w:rPr>
          <w:rFonts w:ascii="Arial" w:cs="Arial" w:eastAsia="Arial" w:hAnsi="Arial"/>
          <w:sz w:val="19"/>
          <w:szCs w:val="19"/>
        </w:rPr>
        <w:t xml:space="preserve">une implication durable envers l'entreprise, ses valeurs et ses objectifs. Il dépasse la tâche pour toucher à l'identification du salarié à son organisation.</w:t>
      </w:r>
    </w:p>
    <w:tbl>
      <w:tblPr>
        <w:tblW w:type="dxa" w:w="9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50"/>
        <w:gridCol w:w="4950"/>
      </w:tblGrid>
      <w:tr>
        <w:tc>
          <w:tcPr>
            <w:tcW w:type="dxa" w:w="495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8"/>
                <w:szCs w:val="18"/>
              </w:rPr>
              <w:t xml:space="preserve">Motivation</w:t>
            </w:r>
          </w:p>
        </w:tc>
        <w:tc>
          <w:tcPr>
            <w:tcW w:type="dxa" w:w="495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shd w:fill="E1F5E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F6E56"/>
                <w:sz w:val="18"/>
                <w:szCs w:val="18"/>
              </w:rPr>
              <w:t xml:space="preserve">Engagement</w:t>
            </w:r>
          </w:p>
        </w:tc>
      </w:tr>
      <w:tr>
        <w:tc>
          <w:tcPr>
            <w:tcW w:type="dxa" w:w="495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Court terme, liée à une tâche</w:t>
            </w:r>
          </w:p>
        </w:tc>
        <w:tc>
          <w:tcPr>
            <w:tcW w:type="dxa" w:w="495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Long terme, liée à l'organisation</w:t>
            </w:r>
          </w:p>
        </w:tc>
      </w:tr>
      <w:tr>
        <w:tc>
          <w:tcPr>
            <w:tcW w:type="dxa" w:w="495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Variable, fluctuante</w:t>
            </w:r>
          </w:p>
        </w:tc>
        <w:tc>
          <w:tcPr>
            <w:tcW w:type="dxa" w:w="495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Plus stable dans le temps</w:t>
            </w:r>
          </w:p>
        </w:tc>
      </w:tr>
      <w:tr>
        <w:tc>
          <w:tcPr>
            <w:tcW w:type="dxa" w:w="495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Peut exister sans engagement</w:t>
            </w:r>
          </w:p>
        </w:tc>
        <w:tc>
          <w:tcPr>
            <w:tcW w:type="dxa" w:w="4950"/>
            <w:tcBorders>
              <w:top w:val="single" w:color="D9D7CE" w:sz="2"/>
              <w:left w:val="single" w:color="D9D7CE" w:sz="2"/>
              <w:bottom w:val="single" w:color="D9D7CE" w:sz="2"/>
              <w:right w:val="single" w:color="D9D7CE" w:sz="2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7"/>
                <w:szCs w:val="17"/>
              </w:rPr>
              <w:t xml:space="preserve">Renforce et prolonge la motivation</w:t>
            </w:r>
          </w:p>
        </w:tc>
      </w:tr>
    </w:tbl>
    <w:p>
      <w:pPr>
        <w:pBdr>
          <w:bottom w:val="single" w:color="0F6E56" w:sz="6" w:space="2"/>
        </w:pBdr>
        <w:spacing w:after="100" w:before="20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Module 2 — Les facteurs de motivation</w:t>
      </w:r>
    </w:p>
    <w:p>
      <w:pPr>
        <w:spacing w:after="4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Facteurs internes (intrinsèques)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Sens donné au travail, autonomie, sentiment de compétence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Besoin de reconnaissance et d'accomplissement personnel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Facteurs externes (extrinsèques)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Rémunération, primes, avantages sociaux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Conditions de travail, environnement, outils mis à disposition</w:t>
      </w:r>
    </w:p>
    <w:p>
      <w:pPr>
        <w:spacing w:after="40" w:before="80"/>
      </w:pPr>
      <w:r>
        <w:rPr>
          <w:rFonts w:ascii="Arial" w:cs="Arial" w:eastAsia="Arial" w:hAnsi="Arial"/>
          <w:b/>
          <w:bCs/>
          <w:sz w:val="19"/>
          <w:szCs w:val="19"/>
        </w:rPr>
        <w:t xml:space="preserve">Rôle du manager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Donne du sens, fixe des objectifs clairs et atteignables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Reconnaît les efforts et favorise l'autonomie de ses équipes</w:t>
      </w:r>
    </w:p>
    <w:p>
      <w:pPr>
        <w:pBdr>
          <w:bottom w:val="single" w:color="0F6E56" w:sz="6" w:space="2"/>
        </w:pBdr>
        <w:spacing w:after="100" w:before="200"/>
      </w:pPr>
      <w:r>
        <w:rPr>
          <w:rFonts w:ascii="Arial" w:cs="Arial" w:eastAsia="Arial" w:hAnsi="Arial"/>
          <w:b/>
          <w:bCs/>
          <w:color w:val="0F6E56"/>
          <w:sz w:val="21"/>
          <w:szCs w:val="21"/>
        </w:rPr>
        <w:t xml:space="preserve">À retenir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Motivation = moteur individuel et ponctuel ; engagement = lien durable à l'entreprise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Les deux se nourrissent mutuellement mais ne se confondent pas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Les facteurs internes et externes agissent de façon complémentaire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sz w:val="19"/>
          <w:szCs w:val="19"/>
        </w:rPr>
        <w:t xml:space="preserve">Le manager est un levier central d'activation de la motivation</w:t>
      </w:r>
    </w:p>
    <w:sectPr>
      <w:pgSz w:w="11906" w:h="16838" w:orient="portrait"/>
      <w:pgMar w:top="900" w:right="900" w:bottom="9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2026-06-21T19:24:20.225Z</dcterms:created>
  <dcterms:modified xsi:type="dcterms:W3CDTF">2026-06-21T19:24:20.225Z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