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color w:val="5F5E5A"/>
          <w:sz w:val="17"/>
          <w:szCs w:val="17"/>
        </w:rPr>
        <w:t xml:space="preserve">MOOC — Motivation et engagement des salariés</w:t>
      </w:r>
    </w:p>
    <w:p>
      <w:pPr>
        <w:spacing w:after="20"/>
      </w:pPr>
      <w:r>
        <w:rPr>
          <w:rFonts w:ascii="Arial" w:cs="Arial" w:eastAsia="Arial" w:hAnsi="Arial"/>
          <w:b/>
          <w:bCs/>
          <w:color w:val="0F6E56"/>
          <w:sz w:val="30"/>
          <w:szCs w:val="30"/>
        </w:rPr>
        <w:t xml:space="preserve">Semaine 2 : Analyser les enjeux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F5E5A"/>
          <w:sz w:val="18"/>
          <w:szCs w:val="18"/>
        </w:rPr>
        <w:t xml:space="preserve">Fiche résumé — 1 page</w:t>
      </w:r>
    </w:p>
    <w:p>
      <w:pPr>
        <w:pBdr>
          <w:bottom w:val="single" w:color="0F6E56" w:sz="6" w:space="2"/>
        </w:pBdr>
        <w:spacing w:after="80" w:before="180"/>
      </w:pPr>
      <w:r>
        <w:rPr>
          <w:rFonts w:ascii="Arial" w:cs="Arial" w:eastAsia="Arial" w:hAnsi="Arial"/>
          <w:b/>
          <w:bCs/>
          <w:color w:val="0F6E56"/>
          <w:sz w:val="21"/>
          <w:szCs w:val="21"/>
        </w:rPr>
        <w:t xml:space="preserve">Objectifs pédagogiques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Comprendre l'impact de la motivation sur la performance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Identifier les leviers de la QVT et les actions de prévention</w:t>
      </w:r>
    </w:p>
    <w:p>
      <w:pPr>
        <w:pBdr>
          <w:bottom w:val="single" w:color="0F6E56" w:sz="6" w:space="2"/>
        </w:pBdr>
        <w:spacing w:after="80" w:before="180"/>
      </w:pPr>
      <w:r>
        <w:rPr>
          <w:rFonts w:ascii="Arial" w:cs="Arial" w:eastAsia="Arial" w:hAnsi="Arial"/>
          <w:b/>
          <w:bCs/>
          <w:color w:val="0F6E56"/>
          <w:sz w:val="21"/>
          <w:szCs w:val="21"/>
        </w:rPr>
        <w:t xml:space="preserve">Module 3 — Motivation, engagement et performance</w:t>
      </w:r>
    </w:p>
    <w:p>
      <w:pPr>
        <w:spacing w:after="8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Impact sur la productivité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Équipes très engagées = 23% plus productives (Gallup 2023)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Le désengagement coûte 8 500 milliards $ à l'économie mondiale (Gallup)</w:t>
      </w:r>
    </w:p>
    <w:p>
      <w:pPr>
        <w:spacing w:after="8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Bien-être au travail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Lien bidirectionnel : bien-être → motivation → performance → bien-être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Spirale positive / spirale négative selon les conditions</w:t>
      </w:r>
    </w:p>
    <w:p>
      <w:pPr>
        <w:spacing w:after="8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Risques psychosociaux (RPS) :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5"/>
        <w:gridCol w:w="7425"/>
      </w:tblGrid>
      <w:tr>
        <w:tc>
          <w:tcPr>
            <w:tcW w:type="dxa" w:w="247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7"/>
                <w:szCs w:val="17"/>
              </w:rPr>
              <w:t xml:space="preserve">Stress</w:t>
            </w:r>
          </w:p>
        </w:tc>
        <w:tc>
          <w:tcPr>
            <w:tcW w:type="dxa" w:w="742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Exigences du poste &gt; ressources disponibles</w:t>
            </w:r>
          </w:p>
        </w:tc>
      </w:tr>
      <w:tr>
        <w:tc>
          <w:tcPr>
            <w:tcW w:type="dxa" w:w="247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7"/>
                <w:szCs w:val="17"/>
              </w:rPr>
              <w:t xml:space="preserve">Burn-out</w:t>
            </w:r>
          </w:p>
        </w:tc>
        <w:tc>
          <w:tcPr>
            <w:tcW w:type="dxa" w:w="742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Épuisement professionnel par surcharge prolongée</w:t>
            </w:r>
          </w:p>
        </w:tc>
      </w:tr>
      <w:tr>
        <w:tc>
          <w:tcPr>
            <w:tcW w:type="dxa" w:w="247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7"/>
                <w:szCs w:val="17"/>
              </w:rPr>
              <w:t xml:space="preserve">Bore-out</w:t>
            </w:r>
          </w:p>
        </w:tc>
        <w:tc>
          <w:tcPr>
            <w:tcW w:type="dxa" w:w="742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Ennui chronique par sous-stimulation</w:t>
            </w:r>
          </w:p>
        </w:tc>
      </w:tr>
      <w:tr>
        <w:tc>
          <w:tcPr>
            <w:tcW w:type="dxa" w:w="247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7"/>
                <w:szCs w:val="17"/>
              </w:rPr>
              <w:t xml:space="preserve">Brown-out</w:t>
            </w:r>
          </w:p>
        </w:tc>
        <w:tc>
          <w:tcPr>
            <w:tcW w:type="dxa" w:w="7425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Perte de sens au travail</w:t>
            </w:r>
          </w:p>
        </w:tc>
      </w:tr>
    </w:tbl>
    <w:p>
      <w:pPr>
        <w:pBdr>
          <w:bottom w:val="single" w:color="0F6E56" w:sz="6" w:space="2"/>
        </w:pBdr>
        <w:spacing w:after="80" w:before="180"/>
      </w:pPr>
      <w:r>
        <w:rPr>
          <w:rFonts w:ascii="Arial" w:cs="Arial" w:eastAsia="Arial" w:hAnsi="Arial"/>
          <w:b/>
          <w:bCs/>
          <w:color w:val="0F6E56"/>
          <w:sz w:val="21"/>
          <w:szCs w:val="21"/>
        </w:rPr>
        <w:t xml:space="preserve">Module 4 — QVT et prévention</w:t>
      </w:r>
    </w:p>
    <w:p>
      <w:pPr>
        <w:spacing w:after="8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Définition ANACT — 6 dimensions de la QVT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Relations au travail · Contenu du travail · Santé au travail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Compétences et parcours · Égalité professionnelle · Organisation du travail</w:t>
      </w:r>
    </w:p>
    <w:p>
      <w:pPr>
        <w:spacing w:after="8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3 niveaux de prévention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Primaire : agir sur les causes (organisation, management) — le plus efficace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Secondaire : renforcer les ressources individuelles (formations, ateliers)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Tertiaire : intervenir après l'apparition du problème (accompagnement)</w:t>
      </w:r>
    </w:p>
    <w:p>
      <w:pPr>
        <w:spacing w:after="8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Acteurs internes QVT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Direction · Managers de proximité · Équipes RH · CSE · Médecine du travail · Salariés</w:t>
      </w:r>
    </w:p>
    <w:p>
      <w:pPr>
        <w:pBdr>
          <w:bottom w:val="single" w:color="0F6E56" w:sz="6" w:space="2"/>
        </w:pBdr>
        <w:spacing w:after="80" w:before="180"/>
      </w:pPr>
      <w:r>
        <w:rPr>
          <w:rFonts w:ascii="Arial" w:cs="Arial" w:eastAsia="Arial" w:hAnsi="Arial"/>
          <w:b/>
          <w:bCs/>
          <w:color w:val="0F6E56"/>
          <w:sz w:val="21"/>
          <w:szCs w:val="21"/>
        </w:rPr>
        <w:t xml:space="preserve">À retenir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Engagement + 23% productivité · désengagement = coût économique massif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RPS = conséquence directe d'un déficit de motivation et de QVT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La QVT touche 6 dimensions, pas juste le confort au bureau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Prévenir vaut mieux que guérir : privilégier la prévention primaire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La QVT est l'affaire de tous les acteurs internes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2026-06-22T07:56:32.366Z</dcterms:created>
  <dcterms:modified xsi:type="dcterms:W3CDTF">2026-06-22T07:56:32.366Z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